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0C" w:rsidRDefault="0034290C" w:rsidP="00E2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Work Sans" w:hAnsi="Work Sans"/>
          <w:b/>
          <w:sz w:val="28"/>
        </w:rPr>
      </w:pPr>
      <w:r>
        <w:rPr>
          <w:rFonts w:ascii="Work Sans" w:hAnsi="Work Sans"/>
          <w:b/>
          <w:sz w:val="28"/>
        </w:rPr>
        <w:t xml:space="preserve">HRS4R – Groupe de travail n° 3 : conditions de travail </w:t>
      </w:r>
    </w:p>
    <w:p w:rsidR="007346AF" w:rsidRDefault="0034290C" w:rsidP="00E2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Work Sans" w:hAnsi="Work Sans"/>
          <w:b/>
          <w:sz w:val="28"/>
        </w:rPr>
      </w:pPr>
      <w:proofErr w:type="gramStart"/>
      <w:r>
        <w:rPr>
          <w:rFonts w:ascii="Work Sans" w:hAnsi="Work Sans"/>
          <w:b/>
          <w:sz w:val="28"/>
        </w:rPr>
        <w:t>et</w:t>
      </w:r>
      <w:proofErr w:type="gramEnd"/>
      <w:r>
        <w:rPr>
          <w:rFonts w:ascii="Work Sans" w:hAnsi="Work Sans"/>
          <w:b/>
          <w:sz w:val="28"/>
        </w:rPr>
        <w:t xml:space="preserve"> sécurité sociale</w:t>
      </w:r>
    </w:p>
    <w:p w:rsidR="000631CF" w:rsidRPr="000631CF" w:rsidRDefault="000631CF" w:rsidP="00E00FC5">
      <w:pPr>
        <w:jc w:val="center"/>
        <w:rPr>
          <w:rFonts w:ascii="Work Sans" w:hAnsi="Work Sans"/>
          <w:sz w:val="16"/>
          <w:u w:val="single"/>
        </w:rPr>
      </w:pPr>
    </w:p>
    <w:p w:rsidR="00E00FC5" w:rsidRPr="00DB53DA" w:rsidRDefault="00DF0E63" w:rsidP="00E00FC5">
      <w:pPr>
        <w:jc w:val="center"/>
        <w:rPr>
          <w:rFonts w:ascii="Work Sans" w:hAnsi="Work Sans"/>
          <w:sz w:val="28"/>
          <w:u w:val="single"/>
        </w:rPr>
      </w:pPr>
      <w:r w:rsidRPr="00DB53DA">
        <w:rPr>
          <w:rFonts w:ascii="Work Sans" w:hAnsi="Work Sans"/>
          <w:sz w:val="28"/>
          <w:u w:val="single"/>
        </w:rPr>
        <w:t xml:space="preserve">Compte-rendu </w:t>
      </w:r>
      <w:r w:rsidR="00B52915" w:rsidRPr="00DB53DA">
        <w:rPr>
          <w:rFonts w:ascii="Work Sans" w:hAnsi="Work Sans"/>
          <w:sz w:val="28"/>
          <w:u w:val="single"/>
        </w:rPr>
        <w:t xml:space="preserve">de la </w:t>
      </w:r>
      <w:r w:rsidRPr="00DB53DA">
        <w:rPr>
          <w:rFonts w:ascii="Work Sans" w:hAnsi="Work Sans"/>
          <w:sz w:val="28"/>
          <w:u w:val="single"/>
        </w:rPr>
        <w:t xml:space="preserve">réunion du </w:t>
      </w:r>
      <w:r w:rsidR="0034290C">
        <w:rPr>
          <w:rFonts w:ascii="Work Sans" w:hAnsi="Work Sans"/>
          <w:sz w:val="28"/>
          <w:u w:val="single"/>
        </w:rPr>
        <w:t>8</w:t>
      </w:r>
      <w:r w:rsidR="00764BD4" w:rsidRPr="00DB53DA">
        <w:rPr>
          <w:rFonts w:ascii="Work Sans" w:hAnsi="Work Sans"/>
          <w:sz w:val="28"/>
          <w:u w:val="single"/>
        </w:rPr>
        <w:t>/</w:t>
      </w:r>
      <w:r w:rsidR="00607EDB">
        <w:rPr>
          <w:rFonts w:ascii="Work Sans" w:hAnsi="Work Sans"/>
          <w:sz w:val="28"/>
          <w:u w:val="single"/>
        </w:rPr>
        <w:t>10</w:t>
      </w:r>
      <w:r w:rsidR="00E00FC5" w:rsidRPr="00DB53DA">
        <w:rPr>
          <w:rFonts w:ascii="Work Sans" w:hAnsi="Work Sans"/>
          <w:sz w:val="28"/>
          <w:u w:val="single"/>
        </w:rPr>
        <w:t>/201</w:t>
      </w:r>
      <w:r w:rsidR="00764BD4" w:rsidRPr="00DB53DA">
        <w:rPr>
          <w:rFonts w:ascii="Work Sans" w:hAnsi="Work Sans"/>
          <w:sz w:val="28"/>
          <w:u w:val="single"/>
        </w:rPr>
        <w:t>9</w:t>
      </w:r>
    </w:p>
    <w:p w:rsidR="00E00FC5" w:rsidRPr="008A37E1" w:rsidRDefault="00E00FC5" w:rsidP="00E00FC5">
      <w:pPr>
        <w:jc w:val="both"/>
        <w:rPr>
          <w:rFonts w:ascii="Work Sans" w:hAnsi="Work Sans"/>
          <w:i/>
          <w:sz w:val="20"/>
        </w:rPr>
      </w:pPr>
      <w:r w:rsidRPr="008A37E1">
        <w:rPr>
          <w:rFonts w:ascii="Work Sans" w:hAnsi="Work Sans"/>
          <w:i/>
          <w:sz w:val="20"/>
          <w:u w:val="single"/>
        </w:rPr>
        <w:t>Présents :</w:t>
      </w:r>
      <w:r w:rsidRPr="008A37E1">
        <w:rPr>
          <w:rFonts w:ascii="Work Sans" w:hAnsi="Work Sans"/>
          <w:i/>
          <w:sz w:val="20"/>
        </w:rPr>
        <w:t xml:space="preserve"> </w:t>
      </w:r>
      <w:proofErr w:type="spellStart"/>
      <w:r w:rsidR="0034290C" w:rsidRPr="0034290C">
        <w:rPr>
          <w:rFonts w:ascii="Work Sans" w:hAnsi="Work Sans"/>
          <w:b/>
          <w:i/>
          <w:sz w:val="20"/>
        </w:rPr>
        <w:t>Concetta</w:t>
      </w:r>
      <w:proofErr w:type="spellEnd"/>
      <w:r w:rsidR="0034290C" w:rsidRPr="0034290C">
        <w:rPr>
          <w:rFonts w:ascii="Work Sans" w:hAnsi="Work Sans"/>
          <w:b/>
          <w:i/>
          <w:sz w:val="20"/>
        </w:rPr>
        <w:t xml:space="preserve"> PENNUTO</w:t>
      </w:r>
      <w:r w:rsidR="0034290C">
        <w:rPr>
          <w:rFonts w:ascii="Work Sans" w:hAnsi="Work Sans"/>
          <w:i/>
          <w:sz w:val="20"/>
        </w:rPr>
        <w:t xml:space="preserve">, </w:t>
      </w:r>
      <w:r w:rsidR="008A37E1" w:rsidRPr="008A37E1">
        <w:rPr>
          <w:rFonts w:ascii="Work Sans" w:hAnsi="Work Sans"/>
          <w:i/>
          <w:sz w:val="20"/>
        </w:rPr>
        <w:t xml:space="preserve">Manuelle </w:t>
      </w:r>
      <w:r w:rsidR="00DA362B" w:rsidRPr="00EF15D1">
        <w:rPr>
          <w:rFonts w:ascii="Work Sans" w:hAnsi="Work Sans"/>
          <w:i/>
          <w:sz w:val="20"/>
        </w:rPr>
        <w:t>RUILIER</w:t>
      </w:r>
      <w:r w:rsidR="008A37E1" w:rsidRPr="008A37E1">
        <w:rPr>
          <w:rFonts w:ascii="Work Sans" w:hAnsi="Work Sans"/>
          <w:i/>
          <w:sz w:val="20"/>
        </w:rPr>
        <w:t xml:space="preserve">, </w:t>
      </w:r>
      <w:r w:rsidR="0034290C">
        <w:rPr>
          <w:rFonts w:ascii="Work Sans" w:hAnsi="Work Sans"/>
          <w:i/>
          <w:sz w:val="20"/>
        </w:rPr>
        <w:t>Sylvie CROCHET, Oriane MOUSSET,</w:t>
      </w:r>
      <w:r w:rsidR="00E2210C">
        <w:rPr>
          <w:rFonts w:ascii="Work Sans" w:hAnsi="Work Sans"/>
          <w:i/>
          <w:sz w:val="20"/>
        </w:rPr>
        <w:t xml:space="preserve"> Morgane GUIBERT,</w:t>
      </w:r>
      <w:r w:rsidR="0034290C">
        <w:rPr>
          <w:rFonts w:ascii="Work Sans" w:hAnsi="Work Sans"/>
          <w:i/>
          <w:sz w:val="20"/>
        </w:rPr>
        <w:t xml:space="preserve"> </w:t>
      </w:r>
      <w:r w:rsidR="00960F6D" w:rsidRPr="00607EDB">
        <w:rPr>
          <w:rFonts w:ascii="Work Sans" w:hAnsi="Work Sans"/>
          <w:b/>
          <w:i/>
          <w:color w:val="FF0000"/>
          <w:sz w:val="20"/>
        </w:rPr>
        <w:t>Jérôme CASAS</w:t>
      </w:r>
      <w:r w:rsidR="00960F6D" w:rsidRPr="008A37E1">
        <w:rPr>
          <w:rFonts w:ascii="Work Sans" w:hAnsi="Work Sans"/>
          <w:i/>
          <w:sz w:val="20"/>
        </w:rPr>
        <w:t>,</w:t>
      </w:r>
      <w:r w:rsidR="0034290C">
        <w:rPr>
          <w:rFonts w:ascii="Work Sans" w:hAnsi="Work Sans"/>
          <w:i/>
          <w:sz w:val="20"/>
        </w:rPr>
        <w:t xml:space="preserve"> Bastien GOUHIER,</w:t>
      </w:r>
      <w:r w:rsidR="00960F6D" w:rsidRPr="008A37E1">
        <w:rPr>
          <w:rFonts w:ascii="Work Sans" w:hAnsi="Work Sans"/>
          <w:i/>
          <w:sz w:val="20"/>
        </w:rPr>
        <w:t xml:space="preserve"> </w:t>
      </w:r>
      <w:r w:rsidR="0034290C">
        <w:rPr>
          <w:rFonts w:ascii="Work Sans" w:hAnsi="Work Sans"/>
          <w:i/>
          <w:sz w:val="20"/>
        </w:rPr>
        <w:t xml:space="preserve">Benoit WOLF, </w:t>
      </w:r>
      <w:proofErr w:type="spellStart"/>
      <w:r w:rsidR="00E2210C">
        <w:rPr>
          <w:rFonts w:ascii="Work Sans" w:hAnsi="Work Sans"/>
          <w:i/>
          <w:sz w:val="20"/>
        </w:rPr>
        <w:t>Eric</w:t>
      </w:r>
      <w:proofErr w:type="spellEnd"/>
      <w:r w:rsidR="00E2210C">
        <w:rPr>
          <w:rFonts w:ascii="Work Sans" w:hAnsi="Work Sans"/>
          <w:i/>
          <w:sz w:val="20"/>
        </w:rPr>
        <w:t xml:space="preserve"> BRICOUT, </w:t>
      </w:r>
      <w:r w:rsidR="000131E3" w:rsidRPr="008A37E1">
        <w:rPr>
          <w:rFonts w:ascii="Work Sans" w:hAnsi="Work Sans"/>
          <w:i/>
          <w:sz w:val="20"/>
        </w:rPr>
        <w:t>Frédéric MATYJAS</w:t>
      </w:r>
    </w:p>
    <w:p w:rsidR="00EF15D1" w:rsidRDefault="00764BD4" w:rsidP="00E00FC5">
      <w:pPr>
        <w:jc w:val="both"/>
        <w:rPr>
          <w:rFonts w:ascii="Work Sans" w:hAnsi="Work Sans"/>
          <w:i/>
          <w:sz w:val="20"/>
        </w:rPr>
      </w:pPr>
      <w:r w:rsidRPr="008A37E1">
        <w:rPr>
          <w:rFonts w:ascii="Work Sans" w:hAnsi="Work Sans"/>
          <w:i/>
          <w:sz w:val="20"/>
          <w:u w:val="single"/>
        </w:rPr>
        <w:t>Excusés :</w:t>
      </w:r>
      <w:r w:rsidRPr="008A37E1">
        <w:rPr>
          <w:rFonts w:ascii="Work Sans" w:hAnsi="Work Sans"/>
          <w:i/>
          <w:sz w:val="20"/>
        </w:rPr>
        <w:t xml:space="preserve"> </w:t>
      </w:r>
      <w:r w:rsidR="008A37E1" w:rsidRPr="008A37E1">
        <w:rPr>
          <w:rFonts w:ascii="Work Sans" w:hAnsi="Work Sans"/>
          <w:i/>
          <w:sz w:val="20"/>
        </w:rPr>
        <w:t xml:space="preserve">Christian GARBAR, </w:t>
      </w:r>
      <w:r w:rsidR="0034290C">
        <w:rPr>
          <w:rFonts w:ascii="Work Sans" w:hAnsi="Work Sans"/>
          <w:i/>
          <w:sz w:val="20"/>
        </w:rPr>
        <w:t>Anna CHAMI, Igor CHOURPA</w:t>
      </w:r>
    </w:p>
    <w:p w:rsidR="00607EDB" w:rsidRPr="000631CF" w:rsidRDefault="00607EDB" w:rsidP="00E00FC5">
      <w:pPr>
        <w:jc w:val="both"/>
        <w:rPr>
          <w:rFonts w:ascii="Work Sans" w:hAnsi="Work Sans"/>
          <w:i/>
          <w:sz w:val="16"/>
        </w:rPr>
      </w:pPr>
    </w:p>
    <w:p w:rsidR="00EA477A" w:rsidRPr="000B311D" w:rsidRDefault="00DF4104" w:rsidP="00EA477A">
      <w:pPr>
        <w:pStyle w:val="Paragraphedeliste"/>
        <w:numPr>
          <w:ilvl w:val="0"/>
          <w:numId w:val="1"/>
        </w:numPr>
        <w:jc w:val="both"/>
        <w:rPr>
          <w:rFonts w:ascii="Work Sans" w:hAnsi="Work Sans"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 xml:space="preserve">Introduction : </w:t>
      </w:r>
      <w:r w:rsidR="00DF0E63" w:rsidRPr="000B311D">
        <w:rPr>
          <w:rFonts w:ascii="Work Sans" w:hAnsi="Work Sans"/>
          <w:sz w:val="24"/>
          <w:szCs w:val="20"/>
          <w:u w:val="single"/>
        </w:rPr>
        <w:t xml:space="preserve"> </w:t>
      </w:r>
    </w:p>
    <w:p w:rsidR="008172C2" w:rsidRDefault="008172C2" w:rsidP="006D5DDF">
      <w:pPr>
        <w:pStyle w:val="Paragraphedeliste"/>
        <w:spacing w:after="0"/>
        <w:ind w:left="357"/>
        <w:jc w:val="both"/>
        <w:rPr>
          <w:rFonts w:ascii="Work Sans" w:hAnsi="Work Sans"/>
          <w:sz w:val="24"/>
          <w:szCs w:val="20"/>
        </w:rPr>
      </w:pPr>
    </w:p>
    <w:p w:rsidR="00E2210C" w:rsidRDefault="00E2210C" w:rsidP="00E2210C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 la lettre d’intention vient tout juste d’être envoyée à la Commission Européenne, avec le compte de l’UT officiellement créé ; le délai de 12 mois commence donc à courir dès maintenant, avec comme prochaine échéance la transmission du plan d’action</w:t>
      </w:r>
      <w:r w:rsidR="006C3337">
        <w:rPr>
          <w:rFonts w:ascii="Work Sans" w:hAnsi="Work Sans"/>
          <w:sz w:val="24"/>
          <w:szCs w:val="20"/>
        </w:rPr>
        <w:t xml:space="preserve"> au plus tard le 4 octobre 2020 (fin juin 2020 en réalité le temps d’effectuer la traduction).</w:t>
      </w:r>
    </w:p>
    <w:p w:rsidR="006C3337" w:rsidRPr="006C3337" w:rsidRDefault="006C3337" w:rsidP="006C3337">
      <w:pPr>
        <w:pStyle w:val="Paragraphedeliste"/>
        <w:ind w:left="360"/>
        <w:jc w:val="both"/>
        <w:rPr>
          <w:rFonts w:ascii="Work Sans" w:hAnsi="Work Sans"/>
          <w:sz w:val="16"/>
          <w:szCs w:val="20"/>
        </w:rPr>
      </w:pPr>
    </w:p>
    <w:p w:rsidR="006C3337" w:rsidRDefault="006C3337" w:rsidP="006C333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Work Sans" w:hAnsi="Work Sans"/>
          <w:i/>
          <w:sz w:val="20"/>
          <w:szCs w:val="20"/>
        </w:rPr>
      </w:pPr>
      <w:r w:rsidRPr="006C3337">
        <w:rPr>
          <w:rFonts w:ascii="Work Sans" w:hAnsi="Work Sans"/>
          <w:i/>
          <w:sz w:val="20"/>
          <w:szCs w:val="20"/>
          <w:u w:val="single"/>
        </w:rPr>
        <w:t>A noter :</w:t>
      </w:r>
      <w:r>
        <w:rPr>
          <w:rFonts w:ascii="Work Sans" w:hAnsi="Work Sans"/>
          <w:i/>
          <w:sz w:val="20"/>
          <w:szCs w:val="20"/>
        </w:rPr>
        <w:t xml:space="preserve"> présentation du travail en Conseil Scientifique le 26/11 et en Conseil d’Administration le 16/12.</w:t>
      </w:r>
    </w:p>
    <w:p w:rsidR="006C3337" w:rsidRPr="006C3337" w:rsidRDefault="006C3337" w:rsidP="006D5DDF">
      <w:pPr>
        <w:pStyle w:val="Paragraphedeliste"/>
        <w:spacing w:after="0"/>
        <w:ind w:left="357"/>
        <w:jc w:val="both"/>
        <w:rPr>
          <w:rFonts w:ascii="Work Sans" w:hAnsi="Work Sans"/>
          <w:sz w:val="16"/>
          <w:szCs w:val="20"/>
        </w:rPr>
      </w:pPr>
    </w:p>
    <w:p w:rsidR="00E2210C" w:rsidRDefault="0034290C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E2210C">
        <w:rPr>
          <w:rFonts w:ascii="Work Sans" w:hAnsi="Work Sans"/>
          <w:sz w:val="24"/>
          <w:szCs w:val="20"/>
        </w:rPr>
        <w:t>passage en revue des personnes</w:t>
      </w:r>
      <w:r w:rsidR="005C7B88">
        <w:rPr>
          <w:rFonts w:ascii="Work Sans" w:hAnsi="Work Sans"/>
          <w:sz w:val="24"/>
          <w:szCs w:val="20"/>
        </w:rPr>
        <w:t>-</w:t>
      </w:r>
      <w:r w:rsidR="00E2210C">
        <w:rPr>
          <w:rFonts w:ascii="Work Sans" w:hAnsi="Work Sans"/>
          <w:sz w:val="24"/>
          <w:szCs w:val="20"/>
        </w:rPr>
        <w:t>ressource</w:t>
      </w:r>
      <w:r w:rsidR="005C7B88">
        <w:rPr>
          <w:rFonts w:ascii="Work Sans" w:hAnsi="Work Sans"/>
          <w:sz w:val="24"/>
          <w:szCs w:val="20"/>
        </w:rPr>
        <w:t>s</w:t>
      </w:r>
      <w:r w:rsidR="00E2210C">
        <w:rPr>
          <w:rFonts w:ascii="Work Sans" w:hAnsi="Work Sans"/>
          <w:sz w:val="24"/>
          <w:szCs w:val="20"/>
        </w:rPr>
        <w:t xml:space="preserve"> </w:t>
      </w:r>
      <w:r w:rsidR="00EE7E48">
        <w:rPr>
          <w:rFonts w:ascii="Work Sans" w:hAnsi="Work Sans"/>
          <w:sz w:val="24"/>
          <w:szCs w:val="20"/>
        </w:rPr>
        <w:t xml:space="preserve">dans l’établissement pour les </w:t>
      </w:r>
      <w:r w:rsidR="00E2210C">
        <w:rPr>
          <w:rFonts w:ascii="Work Sans" w:hAnsi="Work Sans"/>
          <w:sz w:val="24"/>
          <w:szCs w:val="20"/>
        </w:rPr>
        <w:t>différents domaines liés à l’égalité</w:t>
      </w:r>
      <w:r w:rsidR="00EE7E48">
        <w:rPr>
          <w:rFonts w:ascii="Work Sans" w:hAnsi="Work Sans"/>
          <w:sz w:val="24"/>
          <w:szCs w:val="20"/>
        </w:rPr>
        <w:t xml:space="preserve"> ; rajout d’Audrey BODIN pour la partie </w:t>
      </w:r>
      <w:r w:rsidR="00CE17CD">
        <w:rPr>
          <w:rFonts w:ascii="Work Sans" w:hAnsi="Work Sans"/>
          <w:sz w:val="24"/>
          <w:szCs w:val="20"/>
        </w:rPr>
        <w:t xml:space="preserve">égalité - </w:t>
      </w:r>
      <w:r w:rsidR="00EE7E48">
        <w:rPr>
          <w:rFonts w:ascii="Work Sans" w:hAnsi="Work Sans"/>
          <w:sz w:val="24"/>
          <w:szCs w:val="20"/>
        </w:rPr>
        <w:t>plan vert.</w:t>
      </w:r>
    </w:p>
    <w:p w:rsidR="00E2210C" w:rsidRDefault="00E2210C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0603DF" w:rsidRDefault="00E2210C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listing </w:t>
      </w:r>
      <w:r w:rsidR="0034290C">
        <w:rPr>
          <w:rFonts w:ascii="Work Sans" w:hAnsi="Work Sans"/>
          <w:sz w:val="24"/>
          <w:szCs w:val="20"/>
        </w:rPr>
        <w:t>rapide</w:t>
      </w:r>
      <w:r w:rsidR="00A8279A">
        <w:rPr>
          <w:rFonts w:ascii="Work Sans" w:hAnsi="Work Sans"/>
          <w:sz w:val="24"/>
          <w:szCs w:val="20"/>
        </w:rPr>
        <w:t xml:space="preserve"> préalable</w:t>
      </w:r>
      <w:r w:rsidR="0034290C">
        <w:rPr>
          <w:rFonts w:ascii="Work Sans" w:hAnsi="Work Sans"/>
          <w:sz w:val="24"/>
          <w:szCs w:val="20"/>
        </w:rPr>
        <w:t xml:space="preserve"> des documents d’ores et déjà disponibles</w:t>
      </w:r>
      <w:r w:rsidR="00DF21D8">
        <w:rPr>
          <w:rFonts w:ascii="Work Sans" w:hAnsi="Work Sans"/>
          <w:sz w:val="24"/>
          <w:szCs w:val="20"/>
        </w:rPr>
        <w:t xml:space="preserve">/applicables et </w:t>
      </w:r>
      <w:r w:rsidR="00A8279A">
        <w:rPr>
          <w:rFonts w:ascii="Work Sans" w:hAnsi="Work Sans"/>
          <w:sz w:val="24"/>
          <w:szCs w:val="20"/>
        </w:rPr>
        <w:t>utiles pour le présent groupe de travail :</w:t>
      </w:r>
    </w:p>
    <w:p w:rsidR="00A8279A" w:rsidRDefault="00A8279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A8279A" w:rsidRPr="00A8279A" w:rsidRDefault="00E2264D" w:rsidP="0078053C">
      <w:pPr>
        <w:pStyle w:val="Paragraphedeliste"/>
        <w:numPr>
          <w:ilvl w:val="0"/>
          <w:numId w:val="9"/>
        </w:numPr>
        <w:ind w:left="851" w:hanging="284"/>
        <w:jc w:val="both"/>
        <w:rPr>
          <w:rFonts w:ascii="Work Sans" w:hAnsi="Work Sans"/>
          <w:szCs w:val="20"/>
        </w:rPr>
      </w:pPr>
      <w:hyperlink r:id="rId6" w:history="1">
        <w:r w:rsidR="00A8279A" w:rsidRPr="0019602A">
          <w:rPr>
            <w:rStyle w:val="Lienhypertexte"/>
            <w:rFonts w:ascii="Work Sans" w:hAnsi="Work Sans"/>
            <w:szCs w:val="20"/>
          </w:rPr>
          <w:t>Schéma Directeur Handicap 2017-2020</w:t>
        </w:r>
      </w:hyperlink>
    </w:p>
    <w:p w:rsidR="00A8279A" w:rsidRPr="00A8279A" w:rsidRDefault="00E2264D" w:rsidP="0078053C">
      <w:pPr>
        <w:pStyle w:val="Paragraphedeliste"/>
        <w:numPr>
          <w:ilvl w:val="0"/>
          <w:numId w:val="9"/>
        </w:numPr>
        <w:ind w:left="851" w:hanging="284"/>
        <w:jc w:val="both"/>
        <w:rPr>
          <w:rFonts w:ascii="Work Sans" w:hAnsi="Work Sans"/>
          <w:szCs w:val="20"/>
        </w:rPr>
      </w:pPr>
      <w:hyperlink r:id="rId7" w:history="1">
        <w:r w:rsidR="00A8279A" w:rsidRPr="00660822">
          <w:rPr>
            <w:rStyle w:val="Lienhypertexte"/>
            <w:rFonts w:ascii="Work Sans" w:hAnsi="Work Sans"/>
            <w:szCs w:val="20"/>
          </w:rPr>
          <w:t>Schéma Directeur Egalité juin 2018</w:t>
        </w:r>
      </w:hyperlink>
    </w:p>
    <w:p w:rsidR="00A8279A" w:rsidRDefault="00E2264D" w:rsidP="0078053C">
      <w:pPr>
        <w:pStyle w:val="Paragraphedeliste"/>
        <w:numPr>
          <w:ilvl w:val="0"/>
          <w:numId w:val="9"/>
        </w:numPr>
        <w:ind w:left="851" w:hanging="284"/>
        <w:jc w:val="both"/>
        <w:rPr>
          <w:rFonts w:ascii="Work Sans" w:hAnsi="Work Sans"/>
          <w:szCs w:val="20"/>
        </w:rPr>
      </w:pPr>
      <w:hyperlink r:id="rId8" w:history="1">
        <w:r w:rsidR="00A8279A" w:rsidRPr="00660822">
          <w:rPr>
            <w:rStyle w:val="Lienhypertexte"/>
            <w:rFonts w:ascii="Work Sans" w:hAnsi="Work Sans"/>
            <w:szCs w:val="20"/>
          </w:rPr>
          <w:t>Protocole définitif télétravail validé par le CA du 6-05-2019</w:t>
        </w:r>
      </w:hyperlink>
    </w:p>
    <w:p w:rsidR="00D210F2" w:rsidRDefault="00E2264D" w:rsidP="0078053C">
      <w:pPr>
        <w:pStyle w:val="Paragraphedeliste"/>
        <w:numPr>
          <w:ilvl w:val="0"/>
          <w:numId w:val="9"/>
        </w:numPr>
        <w:ind w:left="851" w:hanging="284"/>
        <w:jc w:val="both"/>
        <w:rPr>
          <w:rFonts w:ascii="Work Sans" w:hAnsi="Work Sans"/>
          <w:szCs w:val="20"/>
        </w:rPr>
      </w:pPr>
      <w:hyperlink r:id="rId9" w:history="1">
        <w:r w:rsidR="00D210F2" w:rsidRPr="00C7792E">
          <w:rPr>
            <w:rStyle w:val="Lienhypertexte"/>
            <w:rFonts w:ascii="Work Sans" w:hAnsi="Work Sans"/>
            <w:szCs w:val="20"/>
          </w:rPr>
          <w:t>Cadre de travail des personnels de l’Université de Tours validé par le CA du 6-05-2019</w:t>
        </w:r>
      </w:hyperlink>
    </w:p>
    <w:p w:rsidR="00DF21D8" w:rsidRPr="00DF21D8" w:rsidRDefault="00E2264D" w:rsidP="0078053C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Work Sans" w:hAnsi="Work Sans"/>
          <w:color w:val="000000" w:themeColor="text1"/>
        </w:rPr>
      </w:pPr>
      <w:hyperlink r:id="rId10" w:history="1">
        <w:r w:rsidR="00DF21D8" w:rsidRPr="00660822">
          <w:rPr>
            <w:rStyle w:val="Lienhypertexte"/>
            <w:rFonts w:ascii="Work Sans" w:hAnsi="Work Sans"/>
          </w:rPr>
          <w:t>Protocole de prise en charge des situations de violence, discrimination, harcèlement</w:t>
        </w:r>
      </w:hyperlink>
      <w:r w:rsidR="00DF21D8" w:rsidRPr="00DF21D8">
        <w:rPr>
          <w:rFonts w:ascii="Work Sans" w:hAnsi="Work Sans"/>
          <w:color w:val="000000" w:themeColor="text1"/>
        </w:rPr>
        <w:t xml:space="preserve"> </w:t>
      </w:r>
    </w:p>
    <w:p w:rsidR="00DF21D8" w:rsidRPr="001D5FFA" w:rsidRDefault="001D5FFA" w:rsidP="001D5FFA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Work Sans" w:hAnsi="Work Sans"/>
          <w:color w:val="000000" w:themeColor="text1"/>
        </w:rPr>
      </w:pPr>
      <w:r w:rsidRPr="001D5FFA">
        <w:rPr>
          <w:rFonts w:ascii="Work Sans" w:hAnsi="Work Sans"/>
          <w:color w:val="000000" w:themeColor="text1"/>
        </w:rPr>
        <w:t>L’</w:t>
      </w:r>
      <w:r w:rsidR="00DF21D8" w:rsidRPr="001D5FFA">
        <w:rPr>
          <w:rFonts w:ascii="Work Sans" w:hAnsi="Work Sans"/>
          <w:color w:val="000000" w:themeColor="text1"/>
        </w:rPr>
        <w:t>UT</w:t>
      </w:r>
      <w:r w:rsidRPr="001D5FFA">
        <w:rPr>
          <w:rFonts w:ascii="Work Sans" w:hAnsi="Work Sans"/>
          <w:color w:val="000000" w:themeColor="text1"/>
        </w:rPr>
        <w:t xml:space="preserve"> est</w:t>
      </w:r>
      <w:r w:rsidR="00DF21D8" w:rsidRPr="001D5FFA">
        <w:rPr>
          <w:rFonts w:ascii="Work Sans" w:hAnsi="Work Sans"/>
          <w:color w:val="000000" w:themeColor="text1"/>
        </w:rPr>
        <w:t xml:space="preserve"> signataire du protocole départemental de prévention et de lutte contre les violences faites aux femmes</w:t>
      </w:r>
      <w:r w:rsidRPr="001D5FFA">
        <w:rPr>
          <w:rFonts w:ascii="Work Sans" w:hAnsi="Work Sans"/>
          <w:color w:val="000000" w:themeColor="text1"/>
        </w:rPr>
        <w:t xml:space="preserve"> : </w:t>
      </w:r>
      <w:hyperlink r:id="rId11" w:history="1">
        <w:r w:rsidRPr="001D5FFA">
          <w:rPr>
            <w:rStyle w:val="Lienhypertexte"/>
            <w:rFonts w:ascii="Work Sans" w:hAnsi="Work Sans"/>
          </w:rPr>
          <w:t>http://www.indre-et-loire.gouv.fr/Politiques-publiques/Droits-des-femmes-et-egalite-entre-femmes-hommes/Prevention-et-lutte-contre-les-violences-faites-aux-femmes/Protocole-departemental-de-prevention-et-de-lutte-contre-les-violences-faites-aux-femmes/Protocole-departemental-de-prevention-et-de-lutte-contre-les-violences-faites-aux-femmes</w:t>
        </w:r>
      </w:hyperlink>
      <w:r w:rsidR="00DF21D8" w:rsidRPr="001D5FFA">
        <w:rPr>
          <w:rFonts w:ascii="Work Sans" w:hAnsi="Work Sans"/>
          <w:color w:val="000000" w:themeColor="text1"/>
        </w:rPr>
        <w:t xml:space="preserve"> </w:t>
      </w:r>
    </w:p>
    <w:p w:rsidR="00DF21D8" w:rsidRPr="00DF21D8" w:rsidRDefault="00E2264D" w:rsidP="0078053C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Work Sans" w:hAnsi="Work Sans"/>
          <w:color w:val="000000" w:themeColor="text1"/>
        </w:rPr>
      </w:pPr>
      <w:hyperlink r:id="rId12" w:history="1">
        <w:r w:rsidR="00DF21D8" w:rsidRPr="00660822">
          <w:rPr>
            <w:rStyle w:val="Lienhypertexte"/>
            <w:rFonts w:ascii="Work Sans" w:hAnsi="Work Sans"/>
          </w:rPr>
          <w:t>Démarche de prise d’adoption du prénom d’usage et prise en compte de l’identité de genre (plutôt étudiants, mais à appliquer également aux personnels)</w:t>
        </w:r>
      </w:hyperlink>
      <w:r w:rsidR="00DF21D8" w:rsidRPr="00DF21D8">
        <w:rPr>
          <w:rFonts w:ascii="Work Sans" w:hAnsi="Work Sans"/>
          <w:color w:val="000000" w:themeColor="text1"/>
        </w:rPr>
        <w:t xml:space="preserve"> </w:t>
      </w:r>
    </w:p>
    <w:p w:rsidR="00DF21D8" w:rsidRDefault="00E2264D" w:rsidP="0078053C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Work Sans" w:hAnsi="Work Sans"/>
          <w:bCs/>
          <w:color w:val="000000" w:themeColor="text1"/>
        </w:rPr>
      </w:pPr>
      <w:hyperlink r:id="rId13" w:history="1">
        <w:r w:rsidR="00DF21D8" w:rsidRPr="00660822">
          <w:rPr>
            <w:rStyle w:val="Lienhypertexte"/>
            <w:rFonts w:ascii="Work Sans" w:hAnsi="Work Sans"/>
            <w:bCs/>
          </w:rPr>
          <w:t>Féminisation des noms de métiers et de fonctions (source : Académie Française 2019)</w:t>
        </w:r>
      </w:hyperlink>
    </w:p>
    <w:p w:rsidR="00DF21D8" w:rsidRDefault="003D2959" w:rsidP="0078053C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Work Sans" w:hAnsi="Work Sans"/>
          <w:bCs/>
          <w:color w:val="000000" w:themeColor="text1"/>
        </w:rPr>
      </w:pPr>
      <w:r>
        <w:rPr>
          <w:rFonts w:ascii="Work Sans" w:hAnsi="Work Sans"/>
          <w:bCs/>
          <w:color w:val="000000" w:themeColor="text1"/>
        </w:rPr>
        <w:t xml:space="preserve">Rapports et chiffres-clés 2019 </w:t>
      </w:r>
      <w:hyperlink r:id="rId14" w:history="1">
        <w:r w:rsidRPr="00660822">
          <w:rPr>
            <w:rStyle w:val="Lienhypertexte"/>
            <w:rFonts w:ascii="Work Sans" w:hAnsi="Work Sans"/>
            <w:bCs/>
          </w:rPr>
          <w:t>« </w:t>
        </w:r>
        <w:r w:rsidR="00F015AC" w:rsidRPr="00660822">
          <w:rPr>
            <w:rStyle w:val="Lienhypertexte"/>
            <w:rFonts w:ascii="Work Sans" w:hAnsi="Work Sans"/>
            <w:bCs/>
          </w:rPr>
          <w:t>vers l’égalité réelle entre les femmes et les hommes »</w:t>
        </w:r>
        <w:r w:rsidRPr="00660822">
          <w:rPr>
            <w:rStyle w:val="Lienhypertexte"/>
            <w:rFonts w:ascii="Work Sans" w:hAnsi="Work Sans"/>
            <w:bCs/>
          </w:rPr>
          <w:t xml:space="preserve"> </w:t>
        </w:r>
        <w:r w:rsidR="00D210F2" w:rsidRPr="00660822">
          <w:rPr>
            <w:rStyle w:val="Lienhypertexte"/>
            <w:rFonts w:ascii="Work Sans" w:hAnsi="Work Sans"/>
            <w:bCs/>
          </w:rPr>
          <w:t>(source : Direction Générale de la Cohésion Sociale)</w:t>
        </w:r>
      </w:hyperlink>
      <w:r>
        <w:rPr>
          <w:rFonts w:ascii="Work Sans" w:hAnsi="Work Sans"/>
          <w:bCs/>
          <w:color w:val="000000" w:themeColor="text1"/>
        </w:rPr>
        <w:t xml:space="preserve"> et </w:t>
      </w:r>
      <w:hyperlink r:id="rId15" w:history="1">
        <w:r w:rsidRPr="00660822">
          <w:rPr>
            <w:rStyle w:val="Lienhypertexte"/>
            <w:rFonts w:ascii="Work Sans" w:hAnsi="Work Sans"/>
            <w:bCs/>
          </w:rPr>
          <w:t>« vers l’égalité femmes-hommes » (source : MESRI)</w:t>
        </w:r>
      </w:hyperlink>
    </w:p>
    <w:p w:rsidR="00EE7E48" w:rsidRPr="00DF21D8" w:rsidRDefault="00EE7E48" w:rsidP="0078053C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Work Sans" w:hAnsi="Work Sans"/>
          <w:bCs/>
          <w:color w:val="000000" w:themeColor="text1"/>
        </w:rPr>
      </w:pPr>
      <w:r>
        <w:rPr>
          <w:rFonts w:ascii="Work Sans" w:hAnsi="Work Sans"/>
          <w:bCs/>
          <w:color w:val="000000" w:themeColor="text1"/>
        </w:rPr>
        <w:t xml:space="preserve">En supplément : </w:t>
      </w:r>
      <w:hyperlink r:id="rId16" w:history="1">
        <w:r w:rsidR="00A05881" w:rsidRPr="00660822">
          <w:rPr>
            <w:rStyle w:val="Lienhypertexte"/>
            <w:rFonts w:ascii="Work Sans" w:hAnsi="Work Sans"/>
            <w:bCs/>
          </w:rPr>
          <w:t>la charte des thèses</w:t>
        </w:r>
      </w:hyperlink>
      <w:r w:rsidR="00A05881">
        <w:rPr>
          <w:rFonts w:ascii="Work Sans" w:hAnsi="Work Sans"/>
          <w:bCs/>
          <w:color w:val="000000" w:themeColor="text1"/>
        </w:rPr>
        <w:t xml:space="preserve"> (traité</w:t>
      </w:r>
      <w:r w:rsidR="004C450F">
        <w:rPr>
          <w:rFonts w:ascii="Work Sans" w:hAnsi="Work Sans"/>
          <w:bCs/>
          <w:color w:val="000000" w:themeColor="text1"/>
        </w:rPr>
        <w:t>e</w:t>
      </w:r>
      <w:r w:rsidR="00A05881">
        <w:rPr>
          <w:rFonts w:ascii="Work Sans" w:hAnsi="Work Sans"/>
          <w:bCs/>
          <w:color w:val="000000" w:themeColor="text1"/>
        </w:rPr>
        <w:t xml:space="preserve"> dans l’item 36 du GT4)</w:t>
      </w:r>
      <w:r w:rsidR="00EF3D4B">
        <w:rPr>
          <w:rFonts w:ascii="Work Sans" w:hAnsi="Work Sans"/>
          <w:bCs/>
          <w:color w:val="000000" w:themeColor="text1"/>
        </w:rPr>
        <w:t>, la charte de déontologie</w:t>
      </w:r>
      <w:r w:rsidR="000356E7">
        <w:rPr>
          <w:rFonts w:ascii="Work Sans" w:hAnsi="Work Sans"/>
          <w:bCs/>
          <w:color w:val="000000" w:themeColor="text1"/>
        </w:rPr>
        <w:t xml:space="preserve"> (version à préciser)</w:t>
      </w:r>
      <w:r w:rsidR="005C6CB3">
        <w:rPr>
          <w:rFonts w:ascii="Work Sans" w:hAnsi="Work Sans"/>
          <w:bCs/>
          <w:color w:val="000000" w:themeColor="text1"/>
        </w:rPr>
        <w:t xml:space="preserve">, </w:t>
      </w:r>
      <w:hyperlink r:id="rId17" w:history="1">
        <w:r w:rsidR="00A05881" w:rsidRPr="00376C15">
          <w:rPr>
            <w:rStyle w:val="Lienhypertexte"/>
            <w:rFonts w:ascii="Work Sans" w:hAnsi="Work Sans"/>
            <w:bCs/>
          </w:rPr>
          <w:t>le protocole sur le « droit à la déconnexion »</w:t>
        </w:r>
      </w:hyperlink>
      <w:r w:rsidR="00A05881">
        <w:rPr>
          <w:rFonts w:ascii="Work Sans" w:hAnsi="Work Sans"/>
          <w:bCs/>
          <w:color w:val="000000" w:themeColor="text1"/>
        </w:rPr>
        <w:t xml:space="preserve"> </w:t>
      </w:r>
      <w:hyperlink r:id="rId18" w:history="1">
        <w:r w:rsidR="00BE6900" w:rsidRPr="000631CF">
          <w:rPr>
            <w:rStyle w:val="Lienhypertexte"/>
            <w:rFonts w:ascii="Work Sans" w:hAnsi="Work Sans"/>
            <w:bCs/>
          </w:rPr>
          <w:t>la circulaire du 17 avril 2019</w:t>
        </w:r>
      </w:hyperlink>
      <w:r w:rsidR="00BE6900">
        <w:rPr>
          <w:rFonts w:ascii="Work Sans" w:hAnsi="Work Sans"/>
          <w:bCs/>
          <w:color w:val="000000" w:themeColor="text1"/>
        </w:rPr>
        <w:t xml:space="preserve"> </w:t>
      </w:r>
      <w:r w:rsidR="005C6CB3">
        <w:rPr>
          <w:rFonts w:ascii="Work Sans" w:hAnsi="Work Sans"/>
          <w:bCs/>
          <w:color w:val="000000" w:themeColor="text1"/>
        </w:rPr>
        <w:t xml:space="preserve">et </w:t>
      </w:r>
      <w:hyperlink r:id="rId19" w:history="1">
        <w:r w:rsidR="005C6CB3" w:rsidRPr="00E451AD">
          <w:rPr>
            <w:rStyle w:val="Lienhypertexte"/>
            <w:rFonts w:ascii="Work Sans" w:hAnsi="Work Sans"/>
            <w:sz w:val="24"/>
            <w:szCs w:val="20"/>
          </w:rPr>
          <w:t>« </w:t>
        </w:r>
        <w:proofErr w:type="spellStart"/>
        <w:r w:rsidR="005C6CB3" w:rsidRPr="00E451AD">
          <w:rPr>
            <w:rStyle w:val="Lienhypertexte"/>
            <w:rFonts w:ascii="Work Sans" w:hAnsi="Work Sans"/>
            <w:sz w:val="24"/>
            <w:szCs w:val="20"/>
          </w:rPr>
          <w:t>hosting</w:t>
        </w:r>
        <w:proofErr w:type="spellEnd"/>
        <w:r w:rsidR="005C6CB3" w:rsidRPr="00E451AD">
          <w:rPr>
            <w:rStyle w:val="Lienhypertexte"/>
            <w:rFonts w:ascii="Work Sans" w:hAnsi="Work Sans"/>
            <w:sz w:val="24"/>
            <w:szCs w:val="20"/>
          </w:rPr>
          <w:t xml:space="preserve"> international agents at the </w:t>
        </w:r>
        <w:proofErr w:type="spellStart"/>
        <w:r w:rsidR="005C6CB3" w:rsidRPr="00E451AD">
          <w:rPr>
            <w:rStyle w:val="Lienhypertexte"/>
            <w:rFonts w:ascii="Work Sans" w:hAnsi="Work Sans"/>
            <w:sz w:val="24"/>
            <w:szCs w:val="20"/>
          </w:rPr>
          <w:t>University</w:t>
        </w:r>
        <w:proofErr w:type="spellEnd"/>
        <w:r w:rsidR="005C6CB3" w:rsidRPr="00E451AD">
          <w:rPr>
            <w:rStyle w:val="Lienhypertexte"/>
            <w:rFonts w:ascii="Work Sans" w:hAnsi="Work Sans"/>
            <w:sz w:val="24"/>
            <w:szCs w:val="20"/>
          </w:rPr>
          <w:t xml:space="preserve"> of Tours »</w:t>
        </w:r>
      </w:hyperlink>
    </w:p>
    <w:p w:rsidR="00A8279A" w:rsidRPr="00A8279A" w:rsidRDefault="00A8279A" w:rsidP="00DF21D8">
      <w:pPr>
        <w:pStyle w:val="Paragraphedeliste"/>
        <w:ind w:left="1287"/>
        <w:jc w:val="both"/>
        <w:rPr>
          <w:rFonts w:ascii="Work Sans" w:hAnsi="Work Sans"/>
          <w:szCs w:val="20"/>
        </w:rPr>
      </w:pPr>
    </w:p>
    <w:p w:rsidR="0078053C" w:rsidRDefault="00E2210C" w:rsidP="0078053C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 présentation du support de travail</w:t>
      </w:r>
      <w:r w:rsidR="0078053C">
        <w:rPr>
          <w:rFonts w:ascii="Work Sans" w:hAnsi="Work Sans"/>
          <w:sz w:val="24"/>
          <w:szCs w:val="20"/>
        </w:rPr>
        <w:t xml:space="preserve"> : il prend la forme d’un document </w:t>
      </w:r>
      <w:proofErr w:type="spellStart"/>
      <w:r w:rsidR="0078053C">
        <w:rPr>
          <w:rFonts w:ascii="Work Sans" w:hAnsi="Work Sans"/>
          <w:sz w:val="24"/>
          <w:szCs w:val="20"/>
        </w:rPr>
        <w:t>excel</w:t>
      </w:r>
      <w:proofErr w:type="spellEnd"/>
      <w:r w:rsidR="0078053C">
        <w:rPr>
          <w:rFonts w:ascii="Work Sans" w:hAnsi="Work Sans"/>
          <w:sz w:val="24"/>
          <w:szCs w:val="20"/>
        </w:rPr>
        <w:t>, avec pour chacun des 5 items :</w:t>
      </w:r>
    </w:p>
    <w:p w:rsidR="0078053C" w:rsidRDefault="00A97E2E" w:rsidP="0078053C">
      <w:pPr>
        <w:pStyle w:val="Paragraphedeliste"/>
        <w:numPr>
          <w:ilvl w:val="0"/>
          <w:numId w:val="3"/>
        </w:numPr>
        <w:ind w:left="851" w:hanging="284"/>
        <w:jc w:val="both"/>
        <w:rPr>
          <w:rFonts w:ascii="Work Sans" w:hAnsi="Work Sans"/>
          <w:sz w:val="24"/>
          <w:szCs w:val="20"/>
        </w:rPr>
      </w:pPr>
      <w:proofErr w:type="gramStart"/>
      <w:r>
        <w:rPr>
          <w:rFonts w:ascii="Work Sans" w:hAnsi="Work Sans"/>
          <w:sz w:val="24"/>
          <w:szCs w:val="20"/>
        </w:rPr>
        <w:t>en</w:t>
      </w:r>
      <w:proofErr w:type="gramEnd"/>
      <w:r>
        <w:rPr>
          <w:rFonts w:ascii="Work Sans" w:hAnsi="Work Sans"/>
          <w:sz w:val="24"/>
          <w:szCs w:val="20"/>
        </w:rPr>
        <w:t xml:space="preserve"> </w:t>
      </w:r>
      <w:r w:rsidR="0078053C" w:rsidRPr="00080541">
        <w:rPr>
          <w:rFonts w:ascii="Work Sans" w:hAnsi="Work Sans"/>
          <w:sz w:val="24"/>
          <w:szCs w:val="20"/>
        </w:rPr>
        <w:t>1</w:t>
      </w:r>
      <w:r w:rsidR="0078053C" w:rsidRPr="00080541">
        <w:rPr>
          <w:rFonts w:ascii="Work Sans" w:hAnsi="Work Sans"/>
          <w:sz w:val="24"/>
          <w:szCs w:val="20"/>
          <w:vertAlign w:val="superscript"/>
        </w:rPr>
        <w:t>ère</w:t>
      </w:r>
      <w:r w:rsidR="0078053C">
        <w:rPr>
          <w:rFonts w:ascii="Work Sans" w:hAnsi="Work Sans"/>
          <w:sz w:val="24"/>
          <w:szCs w:val="20"/>
        </w:rPr>
        <w:t xml:space="preserve"> </w:t>
      </w:r>
      <w:r w:rsidR="0078053C" w:rsidRPr="00080541">
        <w:rPr>
          <w:rFonts w:ascii="Work Sans" w:hAnsi="Work Sans"/>
          <w:sz w:val="24"/>
          <w:szCs w:val="20"/>
        </w:rPr>
        <w:t>colonne : rappel de la règlementation applicable, avec l'explication "littéraire" correspondante,</w:t>
      </w:r>
    </w:p>
    <w:p w:rsidR="0078053C" w:rsidRDefault="0078053C" w:rsidP="0078053C">
      <w:pPr>
        <w:pStyle w:val="Paragraphedeliste"/>
        <w:numPr>
          <w:ilvl w:val="0"/>
          <w:numId w:val="3"/>
        </w:numPr>
        <w:ind w:left="851" w:hanging="284"/>
        <w:jc w:val="both"/>
        <w:rPr>
          <w:rFonts w:ascii="Work Sans" w:hAnsi="Work Sans"/>
          <w:sz w:val="24"/>
          <w:szCs w:val="20"/>
        </w:rPr>
      </w:pPr>
      <w:r w:rsidRPr="00080541">
        <w:rPr>
          <w:rFonts w:ascii="Work Sans" w:hAnsi="Work Sans"/>
          <w:sz w:val="24"/>
          <w:szCs w:val="20"/>
        </w:rPr>
        <w:t>2</w:t>
      </w:r>
      <w:r w:rsidRPr="00080541">
        <w:rPr>
          <w:rFonts w:ascii="Work Sans" w:hAnsi="Work Sans"/>
          <w:sz w:val="24"/>
          <w:szCs w:val="20"/>
          <w:vertAlign w:val="superscript"/>
        </w:rPr>
        <w:t>ème</w:t>
      </w:r>
      <w:r>
        <w:rPr>
          <w:rFonts w:ascii="Work Sans" w:hAnsi="Work Sans"/>
          <w:sz w:val="24"/>
          <w:szCs w:val="20"/>
        </w:rPr>
        <w:t xml:space="preserve"> </w:t>
      </w:r>
      <w:r w:rsidRPr="00080541">
        <w:rPr>
          <w:rFonts w:ascii="Work Sans" w:hAnsi="Work Sans"/>
          <w:sz w:val="24"/>
          <w:szCs w:val="20"/>
        </w:rPr>
        <w:t>colonne : analyse des pratiques à l'UT, avec écart éventuel à relever (conforme ou non conforme ; si non conforme, qualification de l'écart),</w:t>
      </w:r>
    </w:p>
    <w:p w:rsidR="0078053C" w:rsidRDefault="0078053C" w:rsidP="0078053C">
      <w:pPr>
        <w:pStyle w:val="Paragraphedeliste"/>
        <w:numPr>
          <w:ilvl w:val="0"/>
          <w:numId w:val="3"/>
        </w:numPr>
        <w:ind w:left="851" w:hanging="284"/>
        <w:jc w:val="both"/>
        <w:rPr>
          <w:rFonts w:ascii="Work Sans" w:hAnsi="Work Sans"/>
          <w:sz w:val="24"/>
          <w:szCs w:val="20"/>
        </w:rPr>
      </w:pPr>
      <w:r w:rsidRPr="00080541">
        <w:rPr>
          <w:rFonts w:ascii="Work Sans" w:hAnsi="Work Sans"/>
          <w:sz w:val="24"/>
          <w:szCs w:val="20"/>
        </w:rPr>
        <w:t>3</w:t>
      </w:r>
      <w:r w:rsidRPr="00080541">
        <w:rPr>
          <w:rFonts w:ascii="Work Sans" w:hAnsi="Work Sans"/>
          <w:sz w:val="24"/>
          <w:szCs w:val="20"/>
          <w:vertAlign w:val="superscript"/>
        </w:rPr>
        <w:t>ème</w:t>
      </w:r>
      <w:r>
        <w:rPr>
          <w:rFonts w:ascii="Work Sans" w:hAnsi="Work Sans"/>
          <w:sz w:val="24"/>
          <w:szCs w:val="20"/>
        </w:rPr>
        <w:t xml:space="preserve"> </w:t>
      </w:r>
      <w:r w:rsidRPr="00080541">
        <w:rPr>
          <w:rFonts w:ascii="Work Sans" w:hAnsi="Work Sans"/>
          <w:sz w:val="24"/>
          <w:szCs w:val="20"/>
        </w:rPr>
        <w:t>colonne : si écart relevé précédemment, propositions et idées d'actions correctives,</w:t>
      </w:r>
    </w:p>
    <w:p w:rsidR="0078053C" w:rsidRDefault="0078053C" w:rsidP="0078053C">
      <w:pPr>
        <w:pStyle w:val="Paragraphedeliste"/>
        <w:numPr>
          <w:ilvl w:val="0"/>
          <w:numId w:val="3"/>
        </w:numPr>
        <w:ind w:left="851" w:hanging="284"/>
        <w:jc w:val="both"/>
        <w:rPr>
          <w:rFonts w:ascii="Work Sans" w:hAnsi="Work Sans"/>
          <w:sz w:val="24"/>
          <w:szCs w:val="20"/>
        </w:rPr>
      </w:pPr>
      <w:r w:rsidRPr="00080541">
        <w:rPr>
          <w:rFonts w:ascii="Work Sans" w:hAnsi="Work Sans"/>
          <w:sz w:val="24"/>
          <w:szCs w:val="20"/>
        </w:rPr>
        <w:t>4</w:t>
      </w:r>
      <w:r w:rsidRPr="00080541">
        <w:rPr>
          <w:rFonts w:ascii="Work Sans" w:hAnsi="Work Sans"/>
          <w:sz w:val="24"/>
          <w:szCs w:val="20"/>
          <w:vertAlign w:val="superscript"/>
        </w:rPr>
        <w:t>ème</w:t>
      </w:r>
      <w:r>
        <w:rPr>
          <w:rFonts w:ascii="Work Sans" w:hAnsi="Work Sans"/>
          <w:sz w:val="24"/>
          <w:szCs w:val="20"/>
        </w:rPr>
        <w:t xml:space="preserve"> </w:t>
      </w:r>
      <w:r w:rsidRPr="00080541">
        <w:rPr>
          <w:rFonts w:ascii="Work Sans" w:hAnsi="Work Sans"/>
          <w:sz w:val="24"/>
          <w:szCs w:val="20"/>
        </w:rPr>
        <w:t>colonne : exemples d'actions (Universités Paris Descartes et Compiègne),</w:t>
      </w:r>
    </w:p>
    <w:p w:rsidR="0078053C" w:rsidRDefault="0078053C" w:rsidP="0078053C">
      <w:pPr>
        <w:pStyle w:val="Paragraphedeliste"/>
        <w:numPr>
          <w:ilvl w:val="0"/>
          <w:numId w:val="3"/>
        </w:numPr>
        <w:ind w:left="851" w:hanging="284"/>
        <w:jc w:val="both"/>
        <w:rPr>
          <w:rFonts w:ascii="Work Sans" w:hAnsi="Work Sans"/>
          <w:sz w:val="24"/>
          <w:szCs w:val="20"/>
        </w:rPr>
      </w:pPr>
      <w:r w:rsidRPr="00080541">
        <w:rPr>
          <w:rFonts w:ascii="Work Sans" w:hAnsi="Work Sans"/>
          <w:sz w:val="24"/>
          <w:szCs w:val="20"/>
        </w:rPr>
        <w:t>5</w:t>
      </w:r>
      <w:r w:rsidRPr="00080541">
        <w:rPr>
          <w:rFonts w:ascii="Work Sans" w:hAnsi="Work Sans"/>
          <w:sz w:val="24"/>
          <w:szCs w:val="20"/>
          <w:vertAlign w:val="superscript"/>
        </w:rPr>
        <w:t>ème</w:t>
      </w:r>
      <w:r>
        <w:rPr>
          <w:rFonts w:ascii="Work Sans" w:hAnsi="Work Sans"/>
          <w:sz w:val="24"/>
          <w:szCs w:val="20"/>
        </w:rPr>
        <w:t xml:space="preserve"> </w:t>
      </w:r>
      <w:r w:rsidRPr="00080541">
        <w:rPr>
          <w:rFonts w:ascii="Work Sans" w:hAnsi="Work Sans"/>
          <w:sz w:val="24"/>
          <w:szCs w:val="20"/>
        </w:rPr>
        <w:t xml:space="preserve">colonne : identification des responsables </w:t>
      </w:r>
      <w:r>
        <w:rPr>
          <w:rFonts w:ascii="Work Sans" w:hAnsi="Work Sans"/>
          <w:sz w:val="24"/>
          <w:szCs w:val="20"/>
        </w:rPr>
        <w:t xml:space="preserve">de </w:t>
      </w:r>
      <w:r w:rsidRPr="00080541">
        <w:rPr>
          <w:rFonts w:ascii="Work Sans" w:hAnsi="Work Sans"/>
          <w:sz w:val="24"/>
          <w:szCs w:val="20"/>
        </w:rPr>
        <w:t xml:space="preserve">la mise en </w:t>
      </w:r>
      <w:r>
        <w:rPr>
          <w:rFonts w:ascii="Work Sans" w:hAnsi="Work Sans"/>
          <w:sz w:val="24"/>
          <w:szCs w:val="20"/>
        </w:rPr>
        <w:t xml:space="preserve">œuvre </w:t>
      </w:r>
      <w:r w:rsidRPr="00080541">
        <w:rPr>
          <w:rFonts w:ascii="Work Sans" w:hAnsi="Work Sans"/>
          <w:sz w:val="24"/>
          <w:szCs w:val="20"/>
        </w:rPr>
        <w:t>des actions correctives, avec le délai de réalisation associé.</w:t>
      </w:r>
    </w:p>
    <w:p w:rsidR="00E67E69" w:rsidRDefault="00E67E69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E67E69" w:rsidRDefault="00E67E69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 intégration de l’item 10</w:t>
      </w:r>
      <w:r w:rsidR="00EE7E48">
        <w:rPr>
          <w:rFonts w:ascii="Work Sans" w:hAnsi="Work Sans"/>
          <w:sz w:val="24"/>
          <w:szCs w:val="20"/>
        </w:rPr>
        <w:t xml:space="preserve"> – non</w:t>
      </w:r>
      <w:r w:rsidR="00A05881">
        <w:rPr>
          <w:rFonts w:ascii="Work Sans" w:hAnsi="Work Sans"/>
          <w:sz w:val="24"/>
          <w:szCs w:val="20"/>
        </w:rPr>
        <w:t>-</w:t>
      </w:r>
      <w:r w:rsidR="00EE7E48">
        <w:rPr>
          <w:rFonts w:ascii="Work Sans" w:hAnsi="Work Sans"/>
          <w:sz w:val="24"/>
          <w:szCs w:val="20"/>
        </w:rPr>
        <w:t>discrimination</w:t>
      </w:r>
      <w:r>
        <w:rPr>
          <w:rFonts w:ascii="Work Sans" w:hAnsi="Work Sans"/>
          <w:sz w:val="24"/>
          <w:szCs w:val="20"/>
        </w:rPr>
        <w:t>, normalement dévolu au GT1</w:t>
      </w:r>
      <w:r w:rsidR="00EE7E48">
        <w:rPr>
          <w:rFonts w:ascii="Work Sans" w:hAnsi="Work Sans"/>
          <w:sz w:val="24"/>
          <w:szCs w:val="20"/>
        </w:rPr>
        <w:t>, en plus des items 22 à 35</w:t>
      </w:r>
      <w:r w:rsidR="00A97E2E">
        <w:rPr>
          <w:rFonts w:ascii="Work Sans" w:hAnsi="Work Sans"/>
          <w:sz w:val="24"/>
          <w:szCs w:val="20"/>
        </w:rPr>
        <w:t>.</w:t>
      </w:r>
    </w:p>
    <w:p w:rsidR="00960F6D" w:rsidRDefault="00960F6D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F67AC8" w:rsidRDefault="00F67AC8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EA477A" w:rsidRPr="000B311D" w:rsidRDefault="002750A4" w:rsidP="00EA477A">
      <w:pPr>
        <w:pStyle w:val="Paragraphedeliste"/>
        <w:numPr>
          <w:ilvl w:val="0"/>
          <w:numId w:val="2"/>
        </w:numPr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L’analyse de l’i</w:t>
      </w:r>
      <w:r w:rsidR="00EA477A" w:rsidRPr="000B311D">
        <w:rPr>
          <w:rFonts w:ascii="Work Sans" w:hAnsi="Work Sans"/>
          <w:b/>
          <w:sz w:val="24"/>
          <w:szCs w:val="20"/>
          <w:u w:val="single"/>
        </w:rPr>
        <w:t xml:space="preserve">tem </w:t>
      </w:r>
      <w:r w:rsidR="00E67E69">
        <w:rPr>
          <w:rFonts w:ascii="Work Sans" w:hAnsi="Work Sans"/>
          <w:b/>
          <w:sz w:val="24"/>
          <w:szCs w:val="20"/>
          <w:u w:val="single"/>
        </w:rPr>
        <w:t>10</w:t>
      </w:r>
      <w:r w:rsidR="00EA477A" w:rsidRPr="000B311D">
        <w:rPr>
          <w:rFonts w:ascii="Work Sans" w:hAnsi="Work Sans"/>
          <w:b/>
          <w:sz w:val="24"/>
          <w:szCs w:val="20"/>
          <w:u w:val="single"/>
        </w:rPr>
        <w:t xml:space="preserve"> –</w:t>
      </w:r>
      <w:r w:rsidR="00EE7E48">
        <w:rPr>
          <w:rFonts w:ascii="Work Sans" w:hAnsi="Work Sans"/>
          <w:b/>
          <w:sz w:val="24"/>
          <w:szCs w:val="20"/>
          <w:u w:val="single"/>
        </w:rPr>
        <w:t xml:space="preserve"> non-discrimination</w:t>
      </w:r>
      <w:r w:rsidR="00EA2656" w:rsidRPr="000B311D">
        <w:rPr>
          <w:rFonts w:ascii="Work Sans" w:hAnsi="Work Sans"/>
          <w:b/>
          <w:sz w:val="24"/>
          <w:szCs w:val="20"/>
          <w:u w:val="single"/>
        </w:rPr>
        <w:t xml:space="preserve">, 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dresse </w:t>
      </w:r>
      <w:r w:rsidR="00EA2656" w:rsidRPr="000B311D">
        <w:rPr>
          <w:rFonts w:ascii="Work Sans" w:hAnsi="Work Sans"/>
          <w:b/>
          <w:sz w:val="24"/>
          <w:szCs w:val="20"/>
          <w:u w:val="single"/>
        </w:rPr>
        <w:t>les constats suivants</w:t>
      </w:r>
      <w:r w:rsidR="00EA477A" w:rsidRPr="000B311D">
        <w:rPr>
          <w:rFonts w:ascii="Work Sans" w:hAnsi="Work Sans"/>
          <w:b/>
          <w:sz w:val="24"/>
          <w:szCs w:val="20"/>
          <w:u w:val="single"/>
        </w:rPr>
        <w:t xml:space="preserve"> : </w:t>
      </w:r>
    </w:p>
    <w:p w:rsidR="00EA477A" w:rsidRDefault="00EA477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A05881" w:rsidRPr="000C4510" w:rsidRDefault="00A05881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>
        <w:rPr>
          <w:rFonts w:ascii="Work Sans" w:hAnsi="Work Sans"/>
          <w:sz w:val="24"/>
          <w:szCs w:val="20"/>
        </w:rPr>
        <w:t xml:space="preserve">- </w:t>
      </w:r>
      <w:r w:rsidRPr="000C4510">
        <w:rPr>
          <w:rFonts w:ascii="Work Sans" w:hAnsi="Work Sans"/>
          <w:sz w:val="24"/>
          <w:szCs w:val="20"/>
          <w:highlight w:val="yellow"/>
        </w:rPr>
        <w:t>l’égalité et la non-discrimination rentrent dans les axes majeurs et stratégiques de l’UT</w:t>
      </w:r>
      <w:r w:rsidR="00470271" w:rsidRPr="000C4510">
        <w:rPr>
          <w:rFonts w:ascii="Work Sans" w:hAnsi="Work Sans"/>
          <w:sz w:val="24"/>
          <w:szCs w:val="20"/>
          <w:highlight w:val="yellow"/>
        </w:rPr>
        <w:t>, et à ce titre font déjà l’objet d’actions spécifiques.</w:t>
      </w:r>
    </w:p>
    <w:p w:rsidR="00A05881" w:rsidRPr="000C4510" w:rsidRDefault="00A05881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0D608B" w:rsidRPr="000C4510" w:rsidRDefault="000D608B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0C4510">
        <w:rPr>
          <w:rFonts w:ascii="Work Sans" w:hAnsi="Work Sans"/>
          <w:sz w:val="24"/>
          <w:szCs w:val="20"/>
          <w:highlight w:val="yellow"/>
        </w:rPr>
        <w:t xml:space="preserve">- </w:t>
      </w:r>
      <w:r w:rsidR="00236BC2" w:rsidRPr="000C4510">
        <w:rPr>
          <w:rFonts w:ascii="Work Sans" w:hAnsi="Work Sans"/>
          <w:sz w:val="24"/>
          <w:szCs w:val="20"/>
          <w:highlight w:val="yellow"/>
        </w:rPr>
        <w:t xml:space="preserve">les personnels étrangers </w:t>
      </w:r>
      <w:r w:rsidR="00236BC2" w:rsidRPr="000C4510">
        <w:rPr>
          <w:rFonts w:ascii="Work Sans" w:hAnsi="Work Sans"/>
          <w:sz w:val="24"/>
          <w:highlight w:val="yellow"/>
        </w:rPr>
        <w:t xml:space="preserve">ne bénéficient pas encore des mêmes droits et informations que les « nationaux », </w:t>
      </w:r>
      <w:r w:rsidR="00A05881" w:rsidRPr="000C4510">
        <w:rPr>
          <w:rFonts w:ascii="Work Sans" w:hAnsi="Work Sans"/>
          <w:sz w:val="24"/>
          <w:szCs w:val="20"/>
          <w:highlight w:val="yellow"/>
        </w:rPr>
        <w:t xml:space="preserve">le problème </w:t>
      </w:r>
      <w:r w:rsidR="00236BC2" w:rsidRPr="000C4510">
        <w:rPr>
          <w:rFonts w:ascii="Work Sans" w:hAnsi="Work Sans"/>
          <w:sz w:val="24"/>
          <w:szCs w:val="20"/>
          <w:highlight w:val="yellow"/>
        </w:rPr>
        <w:t xml:space="preserve">essentiel étant </w:t>
      </w:r>
      <w:r w:rsidR="00A05881" w:rsidRPr="000C4510">
        <w:rPr>
          <w:rFonts w:ascii="Work Sans" w:hAnsi="Work Sans"/>
          <w:sz w:val="24"/>
          <w:szCs w:val="20"/>
          <w:highlight w:val="yellow"/>
        </w:rPr>
        <w:t>la barrière de la langue</w:t>
      </w:r>
      <w:r w:rsidR="00236BC2" w:rsidRPr="000C4510">
        <w:rPr>
          <w:rFonts w:ascii="Work Sans" w:hAnsi="Work Sans"/>
          <w:sz w:val="24"/>
          <w:szCs w:val="20"/>
          <w:highlight w:val="yellow"/>
        </w:rPr>
        <w:t>. T</w:t>
      </w:r>
      <w:r w:rsidR="00470271" w:rsidRPr="000C4510">
        <w:rPr>
          <w:rFonts w:ascii="Work Sans" w:hAnsi="Work Sans"/>
          <w:sz w:val="24"/>
          <w:szCs w:val="20"/>
          <w:highlight w:val="yellow"/>
        </w:rPr>
        <w:t>rop peu de documents s</w:t>
      </w:r>
      <w:r w:rsidR="00CB4D8E" w:rsidRPr="000C4510">
        <w:rPr>
          <w:rFonts w:ascii="Work Sans" w:hAnsi="Work Sans"/>
          <w:sz w:val="24"/>
          <w:szCs w:val="20"/>
          <w:highlight w:val="yellow"/>
        </w:rPr>
        <w:t>ont traduits en langue anglaise, rendant d’autant plus difficile les démarches</w:t>
      </w:r>
      <w:r w:rsidR="000857F8" w:rsidRPr="000C4510">
        <w:rPr>
          <w:rFonts w:ascii="Work Sans" w:hAnsi="Work Sans"/>
          <w:sz w:val="24"/>
          <w:szCs w:val="20"/>
          <w:highlight w:val="yellow"/>
        </w:rPr>
        <w:t>, et peu d’agents de la DRH sont bilingues afin de dispenser correctement les informations</w:t>
      </w:r>
      <w:r w:rsidR="00CB4D8E" w:rsidRPr="000C4510">
        <w:rPr>
          <w:rFonts w:ascii="Work Sans" w:hAnsi="Work Sans"/>
          <w:sz w:val="24"/>
          <w:szCs w:val="20"/>
          <w:highlight w:val="yellow"/>
        </w:rPr>
        <w:t>.</w:t>
      </w:r>
      <w:r w:rsidR="00E451AD" w:rsidRPr="000C4510">
        <w:rPr>
          <w:rFonts w:ascii="Work Sans" w:hAnsi="Work Sans"/>
          <w:sz w:val="24"/>
          <w:szCs w:val="20"/>
          <w:highlight w:val="yellow"/>
        </w:rPr>
        <w:t xml:space="preserve"> A noter toutefois l’existence d’un document </w:t>
      </w:r>
      <w:hyperlink r:id="rId20" w:history="1">
        <w:r w:rsidR="00E451AD" w:rsidRPr="000C4510">
          <w:rPr>
            <w:rStyle w:val="Lienhypertexte"/>
            <w:rFonts w:ascii="Work Sans" w:hAnsi="Work Sans"/>
            <w:sz w:val="24"/>
            <w:szCs w:val="20"/>
            <w:highlight w:val="yellow"/>
          </w:rPr>
          <w:t>« </w:t>
        </w:r>
        <w:proofErr w:type="spellStart"/>
        <w:r w:rsidR="00E451AD" w:rsidRPr="000C4510">
          <w:rPr>
            <w:rStyle w:val="Lienhypertexte"/>
            <w:rFonts w:ascii="Work Sans" w:hAnsi="Work Sans"/>
            <w:sz w:val="24"/>
            <w:szCs w:val="20"/>
            <w:highlight w:val="yellow"/>
          </w:rPr>
          <w:t>hosting</w:t>
        </w:r>
        <w:proofErr w:type="spellEnd"/>
        <w:r w:rsidR="00E451AD" w:rsidRPr="000C4510">
          <w:rPr>
            <w:rStyle w:val="Lienhypertexte"/>
            <w:rFonts w:ascii="Work Sans" w:hAnsi="Work Sans"/>
            <w:sz w:val="24"/>
            <w:szCs w:val="20"/>
            <w:highlight w:val="yellow"/>
          </w:rPr>
          <w:t xml:space="preserve"> international agents at the </w:t>
        </w:r>
        <w:proofErr w:type="spellStart"/>
        <w:r w:rsidR="00E451AD" w:rsidRPr="000C4510">
          <w:rPr>
            <w:rStyle w:val="Lienhypertexte"/>
            <w:rFonts w:ascii="Work Sans" w:hAnsi="Work Sans"/>
            <w:sz w:val="24"/>
            <w:szCs w:val="20"/>
            <w:highlight w:val="yellow"/>
          </w:rPr>
          <w:t>University</w:t>
        </w:r>
        <w:proofErr w:type="spellEnd"/>
        <w:r w:rsidR="00E451AD" w:rsidRPr="000C4510">
          <w:rPr>
            <w:rStyle w:val="Lienhypertexte"/>
            <w:rFonts w:ascii="Work Sans" w:hAnsi="Work Sans"/>
            <w:sz w:val="24"/>
            <w:szCs w:val="20"/>
            <w:highlight w:val="yellow"/>
          </w:rPr>
          <w:t xml:space="preserve"> of Tours »</w:t>
        </w:r>
      </w:hyperlink>
      <w:r w:rsidR="00E451AD" w:rsidRPr="000C4510">
        <w:rPr>
          <w:rFonts w:ascii="Work Sans" w:hAnsi="Work Sans"/>
          <w:sz w:val="24"/>
          <w:szCs w:val="20"/>
          <w:highlight w:val="yellow"/>
        </w:rPr>
        <w:t>.</w:t>
      </w:r>
    </w:p>
    <w:p w:rsidR="00A05881" w:rsidRPr="000C4510" w:rsidRDefault="00A05881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6D6262" w:rsidRPr="000C4510" w:rsidRDefault="009358CC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0C4510">
        <w:rPr>
          <w:rFonts w:ascii="Work Sans" w:hAnsi="Work Sans"/>
          <w:sz w:val="24"/>
          <w:szCs w:val="20"/>
          <w:highlight w:val="yellow"/>
        </w:rPr>
        <w:t xml:space="preserve">- </w:t>
      </w:r>
      <w:r w:rsidR="00CF6F13" w:rsidRPr="000C4510">
        <w:rPr>
          <w:rFonts w:ascii="Work Sans" w:hAnsi="Work Sans"/>
          <w:sz w:val="24"/>
          <w:szCs w:val="20"/>
          <w:highlight w:val="yellow"/>
        </w:rPr>
        <w:t>afin de prendre en compte</w:t>
      </w:r>
      <w:r w:rsidR="00E04741" w:rsidRPr="000C4510">
        <w:rPr>
          <w:rFonts w:ascii="Work Sans" w:hAnsi="Work Sans"/>
          <w:sz w:val="24"/>
          <w:szCs w:val="20"/>
          <w:highlight w:val="yellow"/>
        </w:rPr>
        <w:t xml:space="preserve"> et d’intégrer </w:t>
      </w:r>
      <w:r w:rsidR="005C6CB3" w:rsidRPr="000C4510">
        <w:rPr>
          <w:rFonts w:ascii="Work Sans" w:hAnsi="Work Sans"/>
          <w:sz w:val="24"/>
          <w:szCs w:val="20"/>
          <w:highlight w:val="yellow"/>
        </w:rPr>
        <w:t>les personnes</w:t>
      </w:r>
      <w:r w:rsidR="00867955" w:rsidRPr="000C4510">
        <w:rPr>
          <w:rFonts w:ascii="Work Sans" w:hAnsi="Work Sans"/>
          <w:sz w:val="24"/>
          <w:szCs w:val="20"/>
          <w:highlight w:val="yellow"/>
        </w:rPr>
        <w:t xml:space="preserve"> transgenres, une</w:t>
      </w:r>
      <w:r w:rsidR="005C6CB3" w:rsidRPr="000C4510">
        <w:rPr>
          <w:rFonts w:ascii="Work Sans" w:hAnsi="Work Sans"/>
          <w:sz w:val="24"/>
          <w:szCs w:val="20"/>
          <w:highlight w:val="yellow"/>
        </w:rPr>
        <w:t xml:space="preserve"> démarche d’inscription des étudiants a été actée en 2017, et des </w:t>
      </w:r>
      <w:r w:rsidR="00867955" w:rsidRPr="000C4510">
        <w:rPr>
          <w:rFonts w:ascii="Work Sans" w:hAnsi="Work Sans"/>
          <w:sz w:val="24"/>
          <w:szCs w:val="20"/>
          <w:highlight w:val="yellow"/>
        </w:rPr>
        <w:t>toilettes</w:t>
      </w:r>
      <w:r w:rsidR="005C6CB3" w:rsidRPr="000C4510">
        <w:rPr>
          <w:rFonts w:ascii="Work Sans" w:hAnsi="Work Sans"/>
          <w:sz w:val="24"/>
          <w:szCs w:val="20"/>
          <w:highlight w:val="yellow"/>
        </w:rPr>
        <w:t xml:space="preserve"> non </w:t>
      </w:r>
      <w:proofErr w:type="spellStart"/>
      <w:r w:rsidR="005C6CB3" w:rsidRPr="000C4510">
        <w:rPr>
          <w:rFonts w:ascii="Work Sans" w:hAnsi="Work Sans"/>
          <w:sz w:val="24"/>
          <w:szCs w:val="20"/>
          <w:highlight w:val="yellow"/>
        </w:rPr>
        <w:t>genrées</w:t>
      </w:r>
      <w:proofErr w:type="spellEnd"/>
      <w:r w:rsidR="005C6CB3" w:rsidRPr="000C4510">
        <w:rPr>
          <w:rFonts w:ascii="Work Sans" w:hAnsi="Work Sans"/>
          <w:sz w:val="24"/>
          <w:szCs w:val="20"/>
          <w:highlight w:val="yellow"/>
        </w:rPr>
        <w:t xml:space="preserve"> ont été créées à l’UT</w:t>
      </w:r>
      <w:r w:rsidR="00867955" w:rsidRPr="000C4510">
        <w:rPr>
          <w:rFonts w:ascii="Work Sans" w:hAnsi="Work Sans"/>
          <w:sz w:val="24"/>
          <w:szCs w:val="20"/>
          <w:highlight w:val="yellow"/>
        </w:rPr>
        <w:t>.</w:t>
      </w:r>
    </w:p>
    <w:p w:rsidR="0024447B" w:rsidRPr="000C4510" w:rsidRDefault="0024447B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24447B" w:rsidRDefault="0024447B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 w:rsidRPr="000C4510">
        <w:rPr>
          <w:rFonts w:ascii="Work Sans" w:hAnsi="Work Sans"/>
          <w:sz w:val="24"/>
          <w:szCs w:val="20"/>
          <w:highlight w:val="yellow"/>
        </w:rPr>
        <w:t xml:space="preserve">- concernant les diplômes, l’UT applique les </w:t>
      </w:r>
      <w:r w:rsidR="006A54CA" w:rsidRPr="000C4510">
        <w:rPr>
          <w:rFonts w:ascii="Work Sans" w:hAnsi="Work Sans"/>
          <w:sz w:val="24"/>
          <w:szCs w:val="20"/>
          <w:highlight w:val="yellow"/>
        </w:rPr>
        <w:t xml:space="preserve">recommandations de la circulaire du 17 avril 2019 sur l’inclusion des personnes transgenres dans la vie étudiante et dans les établissements d’enseignement supérieur et de recherche. </w:t>
      </w:r>
      <w:r w:rsidR="00E26B9D" w:rsidRPr="000C4510">
        <w:rPr>
          <w:rFonts w:ascii="Work Sans" w:hAnsi="Work Sans"/>
          <w:sz w:val="24"/>
          <w:szCs w:val="20"/>
          <w:highlight w:val="yellow"/>
        </w:rPr>
        <w:t>A cet effet, l</w:t>
      </w:r>
      <w:r w:rsidR="006A54CA" w:rsidRPr="000C4510">
        <w:rPr>
          <w:rFonts w:ascii="Work Sans" w:hAnsi="Work Sans"/>
          <w:sz w:val="24"/>
          <w:szCs w:val="20"/>
          <w:highlight w:val="yellow"/>
        </w:rPr>
        <w:t>’Université de Tours délivre à la demande de la personne intéressée les diplômes sans les</w:t>
      </w:r>
      <w:r w:rsidRPr="000C4510">
        <w:rPr>
          <w:rFonts w:ascii="Work Sans" w:hAnsi="Work Sans"/>
          <w:sz w:val="24"/>
          <w:szCs w:val="20"/>
          <w:highlight w:val="yellow"/>
        </w:rPr>
        <w:t xml:space="preserve"> mentions « Madame/Monsieur ».</w:t>
      </w:r>
    </w:p>
    <w:p w:rsidR="0083538F" w:rsidRDefault="0083538F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791C4E" w:rsidRPr="000B311D" w:rsidRDefault="002750A4" w:rsidP="00F92B7C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 xml:space="preserve">Item </w:t>
      </w:r>
      <w:r w:rsidR="001A39A2">
        <w:rPr>
          <w:rFonts w:ascii="Work Sans" w:hAnsi="Work Sans"/>
          <w:b/>
          <w:sz w:val="24"/>
          <w:szCs w:val="20"/>
          <w:u w:val="single"/>
        </w:rPr>
        <w:t>10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 - </w:t>
      </w:r>
      <w:r w:rsidR="0071771F" w:rsidRPr="000B311D">
        <w:rPr>
          <w:rFonts w:ascii="Work Sans" w:hAnsi="Work Sans"/>
          <w:b/>
          <w:sz w:val="24"/>
          <w:szCs w:val="20"/>
          <w:u w:val="single"/>
        </w:rPr>
        <w:t xml:space="preserve">Les </w:t>
      </w:r>
      <w:r w:rsidR="008721BF" w:rsidRPr="000B311D">
        <w:rPr>
          <w:rFonts w:ascii="Work Sans" w:hAnsi="Work Sans"/>
          <w:b/>
          <w:sz w:val="24"/>
          <w:szCs w:val="20"/>
          <w:u w:val="single"/>
        </w:rPr>
        <w:t>écart</w:t>
      </w:r>
      <w:r w:rsidR="00B87D52" w:rsidRPr="000B311D">
        <w:rPr>
          <w:rFonts w:ascii="Work Sans" w:hAnsi="Work Sans"/>
          <w:b/>
          <w:sz w:val="24"/>
          <w:szCs w:val="20"/>
          <w:u w:val="single"/>
        </w:rPr>
        <w:t>s</w:t>
      </w:r>
      <w:r w:rsidR="008721BF" w:rsidRPr="000B311D">
        <w:rPr>
          <w:rFonts w:ascii="Work Sans" w:hAnsi="Work Sans"/>
          <w:b/>
          <w:sz w:val="24"/>
          <w:szCs w:val="20"/>
          <w:u w:val="single"/>
        </w:rPr>
        <w:t xml:space="preserve"> </w:t>
      </w:r>
      <w:r w:rsidR="00AF5FA4" w:rsidRPr="000B311D">
        <w:rPr>
          <w:rFonts w:ascii="Work Sans" w:hAnsi="Work Sans"/>
          <w:b/>
          <w:sz w:val="24"/>
          <w:szCs w:val="20"/>
          <w:u w:val="single"/>
        </w:rPr>
        <w:t>décelés et les propositions d’action(s)</w:t>
      </w:r>
      <w:r w:rsidR="00BD68C7" w:rsidRPr="000B311D">
        <w:rPr>
          <w:rFonts w:ascii="Work Sans" w:hAnsi="Work Sans"/>
          <w:b/>
          <w:sz w:val="24"/>
          <w:szCs w:val="20"/>
          <w:u w:val="single"/>
        </w:rPr>
        <w:t xml:space="preserve"> </w:t>
      </w:r>
      <w:r w:rsidR="00791C4E" w:rsidRPr="000B311D">
        <w:rPr>
          <w:rFonts w:ascii="Work Sans" w:hAnsi="Work Sans"/>
          <w:b/>
          <w:sz w:val="24"/>
          <w:szCs w:val="20"/>
          <w:u w:val="single"/>
        </w:rPr>
        <w:t>:</w:t>
      </w:r>
    </w:p>
    <w:p w:rsidR="00C04765" w:rsidRDefault="00C04765" w:rsidP="00F92B7C">
      <w:pPr>
        <w:pStyle w:val="Paragraphedeliste"/>
        <w:spacing w:after="0"/>
        <w:ind w:left="357"/>
        <w:jc w:val="both"/>
        <w:rPr>
          <w:rFonts w:ascii="Work Sans" w:hAnsi="Work Sans"/>
          <w:sz w:val="24"/>
          <w:szCs w:val="20"/>
        </w:rPr>
      </w:pPr>
    </w:p>
    <w:p w:rsidR="00C329D1" w:rsidRPr="00C279A6" w:rsidRDefault="00C04765" w:rsidP="00C329D1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  <w:highlight w:val="yellow"/>
        </w:rPr>
      </w:pPr>
      <w:r w:rsidRPr="00C279A6">
        <w:rPr>
          <w:rFonts w:ascii="Work Sans" w:hAnsi="Work Sans"/>
          <w:sz w:val="24"/>
          <w:szCs w:val="20"/>
          <w:highlight w:val="yellow"/>
        </w:rPr>
        <w:t>-</w:t>
      </w:r>
      <w:r w:rsidR="00AF5FA4" w:rsidRPr="00C279A6">
        <w:rPr>
          <w:rFonts w:ascii="Work Sans" w:hAnsi="Work Sans"/>
          <w:sz w:val="24"/>
          <w:szCs w:val="20"/>
          <w:highlight w:val="yellow"/>
        </w:rPr>
        <w:t xml:space="preserve"> </w:t>
      </w:r>
      <w:r w:rsidR="00C329D1" w:rsidRPr="00C279A6">
        <w:rPr>
          <w:rFonts w:ascii="Work Sans" w:hAnsi="Work Sans"/>
          <w:sz w:val="24"/>
          <w:szCs w:val="20"/>
          <w:highlight w:val="yellow"/>
        </w:rPr>
        <w:t xml:space="preserve">la majorité des informations et documents disponibles est rédigée en langue française </w:t>
      </w:r>
      <w:r w:rsidR="00C329D1" w:rsidRPr="00C279A6">
        <w:rPr>
          <w:rFonts w:ascii="Work Sans" w:hAnsi="Work Sans"/>
          <w:sz w:val="24"/>
          <w:szCs w:val="20"/>
          <w:highlight w:val="yellow"/>
        </w:rPr>
        <w:sym w:font="Wingdings" w:char="F0E0"/>
      </w:r>
      <w:r w:rsidR="00C329D1" w:rsidRPr="00C279A6">
        <w:rPr>
          <w:rFonts w:ascii="Work Sans" w:hAnsi="Work Sans"/>
          <w:sz w:val="24"/>
          <w:szCs w:val="20"/>
          <w:highlight w:val="yellow"/>
        </w:rPr>
        <w:t xml:space="preserve"> effort à porter sur leur traduction</w:t>
      </w:r>
      <w:r w:rsidR="00244399" w:rsidRPr="00C279A6">
        <w:rPr>
          <w:rFonts w:ascii="Work Sans" w:hAnsi="Work Sans"/>
          <w:sz w:val="24"/>
          <w:szCs w:val="20"/>
          <w:highlight w:val="yellow"/>
        </w:rPr>
        <w:t>. L</w:t>
      </w:r>
      <w:r w:rsidR="00C329D1" w:rsidRPr="00C279A6">
        <w:rPr>
          <w:rFonts w:ascii="Work Sans" w:hAnsi="Work Sans"/>
          <w:sz w:val="24"/>
          <w:szCs w:val="20"/>
          <w:highlight w:val="yellow"/>
        </w:rPr>
        <w:t>a trame d’un site web miroir en anglais est en cours d’</w:t>
      </w:r>
      <w:r w:rsidR="00244399" w:rsidRPr="00C279A6">
        <w:rPr>
          <w:rFonts w:ascii="Work Sans" w:hAnsi="Work Sans"/>
          <w:sz w:val="24"/>
          <w:szCs w:val="20"/>
          <w:highlight w:val="yellow"/>
        </w:rPr>
        <w:t xml:space="preserve">élaboration ; elle nécessiterait néanmoins une personne bilingue dédiée à plein temps </w:t>
      </w:r>
      <w:r w:rsidR="000857F8" w:rsidRPr="00C279A6">
        <w:rPr>
          <w:rFonts w:ascii="Work Sans" w:hAnsi="Work Sans"/>
          <w:sz w:val="24"/>
          <w:szCs w:val="20"/>
          <w:highlight w:val="yellow"/>
        </w:rPr>
        <w:t xml:space="preserve">(à la DRH ?) </w:t>
      </w:r>
      <w:r w:rsidR="00244399" w:rsidRPr="00C279A6">
        <w:rPr>
          <w:rFonts w:ascii="Work Sans" w:hAnsi="Work Sans"/>
          <w:sz w:val="24"/>
          <w:szCs w:val="20"/>
          <w:highlight w:val="yellow"/>
        </w:rPr>
        <w:t>afin d’</w:t>
      </w:r>
      <w:r w:rsidR="00380C6C" w:rsidRPr="00C279A6">
        <w:rPr>
          <w:rFonts w:ascii="Work Sans" w:hAnsi="Work Sans"/>
          <w:sz w:val="24"/>
          <w:szCs w:val="20"/>
          <w:highlight w:val="yellow"/>
        </w:rPr>
        <w:t xml:space="preserve">en </w:t>
      </w:r>
      <w:r w:rsidR="00244399" w:rsidRPr="00C279A6">
        <w:rPr>
          <w:rFonts w:ascii="Work Sans" w:hAnsi="Work Sans"/>
          <w:sz w:val="24"/>
          <w:szCs w:val="20"/>
          <w:highlight w:val="yellow"/>
        </w:rPr>
        <w:t xml:space="preserve">assurer </w:t>
      </w:r>
      <w:r w:rsidR="00380C6C" w:rsidRPr="00C279A6">
        <w:rPr>
          <w:rFonts w:ascii="Work Sans" w:hAnsi="Work Sans"/>
          <w:sz w:val="24"/>
          <w:szCs w:val="20"/>
          <w:highlight w:val="yellow"/>
        </w:rPr>
        <w:t xml:space="preserve">une </w:t>
      </w:r>
      <w:r w:rsidR="00244399" w:rsidRPr="00C279A6">
        <w:rPr>
          <w:rFonts w:ascii="Work Sans" w:hAnsi="Work Sans"/>
          <w:sz w:val="24"/>
          <w:szCs w:val="20"/>
          <w:highlight w:val="yellow"/>
        </w:rPr>
        <w:t>gestion</w:t>
      </w:r>
      <w:r w:rsidR="00380C6C" w:rsidRPr="00C279A6">
        <w:rPr>
          <w:rFonts w:ascii="Work Sans" w:hAnsi="Work Sans"/>
          <w:sz w:val="24"/>
          <w:szCs w:val="20"/>
          <w:highlight w:val="yellow"/>
        </w:rPr>
        <w:t xml:space="preserve"> efficace</w:t>
      </w:r>
      <w:r w:rsidR="00244399" w:rsidRPr="00C279A6">
        <w:rPr>
          <w:rFonts w:ascii="Work Sans" w:hAnsi="Work Sans"/>
          <w:sz w:val="24"/>
          <w:szCs w:val="20"/>
          <w:highlight w:val="yellow"/>
        </w:rPr>
        <w:t>.</w:t>
      </w:r>
    </w:p>
    <w:p w:rsidR="00C329D1" w:rsidRPr="00C279A6" w:rsidRDefault="00C329D1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  <w:highlight w:val="yellow"/>
        </w:rPr>
      </w:pPr>
    </w:p>
    <w:p w:rsidR="00CB4D8E" w:rsidRPr="00C279A6" w:rsidRDefault="00C329D1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  <w:highlight w:val="yellow"/>
        </w:rPr>
      </w:pPr>
      <w:r w:rsidRPr="00C279A6">
        <w:rPr>
          <w:rFonts w:ascii="Work Sans" w:hAnsi="Work Sans"/>
          <w:sz w:val="24"/>
          <w:szCs w:val="20"/>
          <w:highlight w:val="yellow"/>
        </w:rPr>
        <w:t xml:space="preserve">- </w:t>
      </w:r>
      <w:r w:rsidR="00CB4D8E" w:rsidRPr="00C279A6">
        <w:rPr>
          <w:rFonts w:ascii="Work Sans" w:hAnsi="Work Sans"/>
          <w:sz w:val="24"/>
          <w:szCs w:val="20"/>
          <w:highlight w:val="yellow"/>
        </w:rPr>
        <w:t xml:space="preserve">en lien avec les items 12 et 13 du GT2, élaborer un document </w:t>
      </w:r>
      <w:r w:rsidR="00236BC2" w:rsidRPr="00C279A6">
        <w:rPr>
          <w:rFonts w:ascii="Work Sans" w:hAnsi="Work Sans"/>
          <w:sz w:val="24"/>
          <w:szCs w:val="20"/>
          <w:highlight w:val="yellow"/>
        </w:rPr>
        <w:t xml:space="preserve">de sensibilisation (flyer ?) </w:t>
      </w:r>
      <w:r w:rsidR="00CB4D8E" w:rsidRPr="00C279A6">
        <w:rPr>
          <w:rFonts w:ascii="Work Sans" w:hAnsi="Work Sans"/>
          <w:sz w:val="24"/>
          <w:szCs w:val="20"/>
          <w:highlight w:val="yellow"/>
        </w:rPr>
        <w:t>sur la non-discrimination en matière de recrutement.</w:t>
      </w:r>
    </w:p>
    <w:p w:rsidR="00236BC2" w:rsidRPr="00C279A6" w:rsidRDefault="00236BC2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  <w:highlight w:val="yellow"/>
        </w:rPr>
      </w:pPr>
    </w:p>
    <w:p w:rsidR="00236BC2" w:rsidRPr="00C279A6" w:rsidRDefault="00236BC2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  <w:highlight w:val="yellow"/>
        </w:rPr>
      </w:pPr>
      <w:r w:rsidRPr="00C279A6">
        <w:rPr>
          <w:rFonts w:ascii="Work Sans" w:hAnsi="Work Sans"/>
          <w:sz w:val="24"/>
          <w:szCs w:val="20"/>
          <w:highlight w:val="yellow"/>
        </w:rPr>
        <w:t>- diffuser plus largement les postes offerts au recrutement</w:t>
      </w:r>
      <w:r w:rsidR="00A861E9" w:rsidRPr="00C279A6">
        <w:rPr>
          <w:rFonts w:ascii="Work Sans" w:hAnsi="Work Sans"/>
          <w:sz w:val="24"/>
          <w:szCs w:val="20"/>
          <w:highlight w:val="yellow"/>
        </w:rPr>
        <w:t xml:space="preserve"> et les modalités de candidature (cf. GT2) afin de préserver une égalité de traitement.</w:t>
      </w:r>
    </w:p>
    <w:p w:rsidR="00867955" w:rsidRPr="00C279A6" w:rsidRDefault="00867955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  <w:highlight w:val="yellow"/>
        </w:rPr>
      </w:pPr>
    </w:p>
    <w:p w:rsidR="00867955" w:rsidRDefault="00867955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C279A6">
        <w:rPr>
          <w:rFonts w:ascii="Work Sans" w:hAnsi="Work Sans"/>
          <w:sz w:val="24"/>
          <w:szCs w:val="20"/>
          <w:highlight w:val="yellow"/>
        </w:rPr>
        <w:t xml:space="preserve">- s’agissant du </w:t>
      </w:r>
      <w:proofErr w:type="spellStart"/>
      <w:r w:rsidRPr="00C279A6">
        <w:rPr>
          <w:rFonts w:ascii="Work Sans" w:hAnsi="Work Sans"/>
          <w:sz w:val="24"/>
          <w:szCs w:val="20"/>
          <w:highlight w:val="yellow"/>
        </w:rPr>
        <w:t>transgénérisme</w:t>
      </w:r>
      <w:proofErr w:type="spellEnd"/>
      <w:r w:rsidR="00576700" w:rsidRPr="00C279A6">
        <w:rPr>
          <w:rFonts w:ascii="Work Sans" w:hAnsi="Work Sans"/>
          <w:sz w:val="24"/>
          <w:szCs w:val="20"/>
          <w:highlight w:val="yellow"/>
        </w:rPr>
        <w:t>,</w:t>
      </w:r>
      <w:r w:rsidR="00EE3380" w:rsidRPr="00C279A6">
        <w:rPr>
          <w:rFonts w:ascii="Work Sans" w:hAnsi="Work Sans"/>
          <w:sz w:val="24"/>
          <w:szCs w:val="20"/>
          <w:highlight w:val="yellow"/>
        </w:rPr>
        <w:t xml:space="preserve"> et pour aller plus loin dans la démarche engagée</w:t>
      </w:r>
      <w:r w:rsidRPr="00C279A6">
        <w:rPr>
          <w:rFonts w:ascii="Work Sans" w:hAnsi="Work Sans"/>
          <w:sz w:val="24"/>
          <w:szCs w:val="20"/>
          <w:highlight w:val="yellow"/>
        </w:rPr>
        <w:t>, resterait le cas des vestiaires à étudier</w:t>
      </w:r>
      <w:r w:rsidR="0083538F" w:rsidRPr="00C279A6">
        <w:rPr>
          <w:rFonts w:ascii="Work Sans" w:hAnsi="Work Sans"/>
          <w:sz w:val="24"/>
          <w:szCs w:val="20"/>
          <w:highlight w:val="yellow"/>
        </w:rPr>
        <w:t>.</w:t>
      </w:r>
    </w:p>
    <w:p w:rsidR="0083538F" w:rsidRPr="000631CF" w:rsidRDefault="0083538F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0"/>
          <w:szCs w:val="20"/>
        </w:rPr>
      </w:pPr>
    </w:p>
    <w:p w:rsidR="00F67AC8" w:rsidRPr="000631CF" w:rsidRDefault="00F67AC8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0"/>
          <w:szCs w:val="20"/>
        </w:rPr>
      </w:pPr>
    </w:p>
    <w:p w:rsidR="00B6106D" w:rsidRPr="00B6106D" w:rsidRDefault="00B6106D" w:rsidP="00B6106D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B6106D">
        <w:rPr>
          <w:rFonts w:ascii="Work Sans" w:hAnsi="Work Sans"/>
          <w:b/>
          <w:sz w:val="24"/>
          <w:szCs w:val="20"/>
          <w:u w:val="single"/>
        </w:rPr>
        <w:t xml:space="preserve">L’analyse de l’item 22 – reconnaissance de la profession, dresse les constats suivants : </w:t>
      </w:r>
    </w:p>
    <w:p w:rsidR="00B6106D" w:rsidRPr="00B6106D" w:rsidRDefault="00B6106D" w:rsidP="00B6106D">
      <w:pPr>
        <w:pStyle w:val="Paragraphedeliste"/>
        <w:ind w:left="360"/>
        <w:jc w:val="both"/>
        <w:rPr>
          <w:rFonts w:ascii="Work Sans" w:hAnsi="Work Sans"/>
          <w:sz w:val="24"/>
        </w:rPr>
      </w:pPr>
    </w:p>
    <w:p w:rsidR="00B6106D" w:rsidRPr="00E2264D" w:rsidRDefault="00B6106D" w:rsidP="00B6106D">
      <w:pPr>
        <w:pStyle w:val="Paragraphedeliste"/>
        <w:ind w:left="360"/>
        <w:jc w:val="both"/>
        <w:rPr>
          <w:rFonts w:ascii="Work Sans" w:hAnsi="Work Sans"/>
          <w:sz w:val="24"/>
          <w:highlight w:val="yellow"/>
        </w:rPr>
      </w:pPr>
      <w:r w:rsidRPr="00E2264D">
        <w:rPr>
          <w:rFonts w:ascii="Work Sans" w:hAnsi="Work Sans"/>
          <w:sz w:val="24"/>
          <w:highlight w:val="yellow"/>
        </w:rPr>
        <w:t xml:space="preserve">- </w:t>
      </w:r>
      <w:r w:rsidR="005560D8" w:rsidRPr="00E2264D">
        <w:rPr>
          <w:rFonts w:ascii="Work Sans" w:hAnsi="Work Sans"/>
          <w:sz w:val="24"/>
          <w:highlight w:val="yellow"/>
        </w:rPr>
        <w:t>le problème de la reconnaissance se pose essentiellement pour le doctorant et ses différents statuts dont certains posent difficultés : CIFRE</w:t>
      </w:r>
      <w:r w:rsidR="00C41B26" w:rsidRPr="00E2264D">
        <w:rPr>
          <w:rFonts w:ascii="Work Sans" w:hAnsi="Work Sans"/>
          <w:sz w:val="24"/>
          <w:highlight w:val="yellow"/>
        </w:rPr>
        <w:t xml:space="preserve">, </w:t>
      </w:r>
      <w:r w:rsidR="005560D8" w:rsidRPr="00E2264D">
        <w:rPr>
          <w:rFonts w:ascii="Work Sans" w:hAnsi="Work Sans"/>
          <w:sz w:val="24"/>
          <w:highlight w:val="yellow"/>
        </w:rPr>
        <w:t xml:space="preserve">STUDIUM, </w:t>
      </w:r>
      <w:r w:rsidR="008F6FAF" w:rsidRPr="00E2264D">
        <w:rPr>
          <w:rFonts w:ascii="Work Sans" w:hAnsi="Work Sans"/>
          <w:sz w:val="24"/>
          <w:highlight w:val="yellow"/>
        </w:rPr>
        <w:t xml:space="preserve">boursier, </w:t>
      </w:r>
      <w:r w:rsidR="005560D8" w:rsidRPr="00E2264D">
        <w:rPr>
          <w:rFonts w:ascii="Work Sans" w:hAnsi="Work Sans"/>
          <w:sz w:val="24"/>
          <w:highlight w:val="yellow"/>
        </w:rPr>
        <w:t>autres</w:t>
      </w:r>
      <w:r w:rsidR="008F6FAF" w:rsidRPr="00E2264D">
        <w:rPr>
          <w:rFonts w:ascii="Work Sans" w:hAnsi="Work Sans"/>
          <w:sz w:val="24"/>
          <w:highlight w:val="yellow"/>
        </w:rPr>
        <w:t xml:space="preserve"> ? </w:t>
      </w:r>
    </w:p>
    <w:p w:rsidR="005560D8" w:rsidRPr="00E2264D" w:rsidRDefault="005560D8" w:rsidP="00B6106D">
      <w:pPr>
        <w:pStyle w:val="Paragraphedeliste"/>
        <w:ind w:left="360"/>
        <w:jc w:val="both"/>
        <w:rPr>
          <w:rFonts w:ascii="Work Sans" w:hAnsi="Work Sans"/>
          <w:sz w:val="24"/>
          <w:highlight w:val="yellow"/>
        </w:rPr>
      </w:pPr>
    </w:p>
    <w:p w:rsidR="005560D8" w:rsidRPr="00E2264D" w:rsidRDefault="005560D8" w:rsidP="00B6106D">
      <w:pPr>
        <w:pStyle w:val="Paragraphedeliste"/>
        <w:ind w:left="360"/>
        <w:jc w:val="both"/>
        <w:rPr>
          <w:rFonts w:ascii="Work Sans" w:hAnsi="Work Sans"/>
          <w:sz w:val="24"/>
          <w:highlight w:val="yellow"/>
        </w:rPr>
      </w:pPr>
      <w:r w:rsidRPr="00E2264D">
        <w:rPr>
          <w:rFonts w:ascii="Work Sans" w:hAnsi="Work Sans"/>
          <w:sz w:val="24"/>
          <w:highlight w:val="yellow"/>
        </w:rPr>
        <w:t>- cependant, les dispositions prévues dans la charte des thèses</w:t>
      </w:r>
      <w:r w:rsidR="00C41B26" w:rsidRPr="00E2264D">
        <w:rPr>
          <w:rFonts w:ascii="Work Sans" w:hAnsi="Work Sans"/>
          <w:sz w:val="24"/>
          <w:highlight w:val="yellow"/>
        </w:rPr>
        <w:t xml:space="preserve"> (cf. GT4) permettent d’encadrer les choses.</w:t>
      </w:r>
    </w:p>
    <w:p w:rsidR="005560D8" w:rsidRPr="00E2264D" w:rsidRDefault="005560D8" w:rsidP="00B6106D">
      <w:pPr>
        <w:pStyle w:val="Paragraphedeliste"/>
        <w:ind w:left="360"/>
        <w:jc w:val="both"/>
        <w:rPr>
          <w:rFonts w:ascii="Work Sans" w:hAnsi="Work Sans"/>
          <w:sz w:val="24"/>
          <w:highlight w:val="yellow"/>
        </w:rPr>
      </w:pPr>
    </w:p>
    <w:p w:rsidR="005560D8" w:rsidRPr="00E2264D" w:rsidRDefault="005560D8" w:rsidP="00B6106D">
      <w:pPr>
        <w:pStyle w:val="Paragraphedeliste"/>
        <w:ind w:left="360"/>
        <w:jc w:val="both"/>
        <w:rPr>
          <w:rFonts w:ascii="Work Sans" w:hAnsi="Work Sans"/>
          <w:sz w:val="24"/>
          <w:highlight w:val="yellow"/>
        </w:rPr>
      </w:pPr>
      <w:r w:rsidRPr="00E2264D">
        <w:rPr>
          <w:rFonts w:ascii="Work Sans" w:hAnsi="Work Sans"/>
          <w:sz w:val="24"/>
          <w:highlight w:val="yellow"/>
        </w:rPr>
        <w:t xml:space="preserve">- par ailleurs, la signature d’un contrat </w:t>
      </w:r>
      <w:r w:rsidR="00C41B26" w:rsidRPr="00E2264D">
        <w:rPr>
          <w:rFonts w:ascii="Work Sans" w:hAnsi="Work Sans"/>
          <w:sz w:val="24"/>
          <w:highlight w:val="yellow"/>
        </w:rPr>
        <w:t xml:space="preserve">est systématique à l’UT avec </w:t>
      </w:r>
      <w:r w:rsidRPr="00E2264D">
        <w:rPr>
          <w:rFonts w:ascii="Work Sans" w:hAnsi="Work Sans"/>
          <w:sz w:val="24"/>
          <w:highlight w:val="yellow"/>
        </w:rPr>
        <w:t>la protection sociale cor</w:t>
      </w:r>
      <w:r w:rsidR="00C41B26" w:rsidRPr="00E2264D">
        <w:rPr>
          <w:rFonts w:ascii="Work Sans" w:hAnsi="Work Sans"/>
          <w:sz w:val="24"/>
          <w:highlight w:val="yellow"/>
        </w:rPr>
        <w:t>respondante.</w:t>
      </w:r>
    </w:p>
    <w:p w:rsidR="005560D8" w:rsidRPr="00E2264D" w:rsidRDefault="005560D8" w:rsidP="00B6106D">
      <w:pPr>
        <w:pStyle w:val="Paragraphedeliste"/>
        <w:ind w:left="360"/>
        <w:jc w:val="both"/>
        <w:rPr>
          <w:rFonts w:ascii="Work Sans" w:hAnsi="Work Sans"/>
          <w:sz w:val="24"/>
          <w:highlight w:val="yellow"/>
        </w:rPr>
      </w:pPr>
    </w:p>
    <w:p w:rsidR="005560D8" w:rsidRPr="00E2264D" w:rsidRDefault="005560D8" w:rsidP="00B6106D">
      <w:pPr>
        <w:pStyle w:val="Paragraphedeliste"/>
        <w:ind w:left="360"/>
        <w:jc w:val="both"/>
        <w:rPr>
          <w:rFonts w:ascii="Work Sans" w:hAnsi="Work Sans"/>
          <w:sz w:val="24"/>
          <w:highlight w:val="yellow"/>
        </w:rPr>
      </w:pPr>
      <w:r w:rsidRPr="00E2264D">
        <w:rPr>
          <w:rFonts w:ascii="Work Sans" w:hAnsi="Work Sans"/>
          <w:sz w:val="24"/>
          <w:highlight w:val="yellow"/>
        </w:rPr>
        <w:t>- le Service de la Recherche et des Etudes Doctorales (SRED) constitue le point d’entrée</w:t>
      </w:r>
      <w:r w:rsidR="008F6FAF" w:rsidRPr="00E2264D">
        <w:rPr>
          <w:rFonts w:ascii="Work Sans" w:hAnsi="Work Sans"/>
          <w:sz w:val="24"/>
          <w:highlight w:val="yellow"/>
        </w:rPr>
        <w:t xml:space="preserve"> et guichet unique d’accueil et d’information.</w:t>
      </w:r>
    </w:p>
    <w:p w:rsidR="005560D8" w:rsidRPr="00E2264D" w:rsidRDefault="005560D8" w:rsidP="00B6106D">
      <w:pPr>
        <w:pStyle w:val="Paragraphedeliste"/>
        <w:ind w:left="360"/>
        <w:jc w:val="both"/>
        <w:rPr>
          <w:rFonts w:ascii="Work Sans" w:hAnsi="Work Sans"/>
          <w:sz w:val="24"/>
          <w:highlight w:val="yellow"/>
        </w:rPr>
      </w:pPr>
    </w:p>
    <w:p w:rsidR="005560D8" w:rsidRPr="00B6106D" w:rsidRDefault="005560D8" w:rsidP="00B6106D">
      <w:pPr>
        <w:pStyle w:val="Paragraphedeliste"/>
        <w:ind w:left="360"/>
        <w:jc w:val="both"/>
        <w:rPr>
          <w:rFonts w:ascii="Work Sans" w:hAnsi="Work Sans"/>
          <w:sz w:val="24"/>
        </w:rPr>
      </w:pPr>
      <w:r w:rsidRPr="00E2264D">
        <w:rPr>
          <w:rFonts w:ascii="Work Sans" w:hAnsi="Work Sans"/>
          <w:sz w:val="24"/>
          <w:highlight w:val="yellow"/>
        </w:rPr>
        <w:t xml:space="preserve">- </w:t>
      </w:r>
      <w:r w:rsidR="00A26727" w:rsidRPr="00E2264D">
        <w:rPr>
          <w:rFonts w:ascii="Work Sans" w:hAnsi="Work Sans"/>
          <w:sz w:val="24"/>
          <w:highlight w:val="yellow"/>
        </w:rPr>
        <w:t xml:space="preserve">pour mémoire, </w:t>
      </w:r>
      <w:r w:rsidRPr="00E2264D">
        <w:rPr>
          <w:rFonts w:ascii="Work Sans" w:hAnsi="Work Sans"/>
          <w:sz w:val="24"/>
          <w:highlight w:val="yellow"/>
        </w:rPr>
        <w:t>s’agissant des personnels étrangers, un document explicatif en anglais « </w:t>
      </w:r>
      <w:proofErr w:type="spellStart"/>
      <w:r w:rsidRPr="00E2264D">
        <w:rPr>
          <w:rFonts w:ascii="Work Sans" w:hAnsi="Work Sans"/>
          <w:sz w:val="24"/>
          <w:highlight w:val="yellow"/>
        </w:rPr>
        <w:t>hosting</w:t>
      </w:r>
      <w:proofErr w:type="spellEnd"/>
      <w:r w:rsidRPr="00E2264D">
        <w:rPr>
          <w:rFonts w:ascii="Work Sans" w:hAnsi="Work Sans"/>
          <w:sz w:val="24"/>
          <w:highlight w:val="yellow"/>
        </w:rPr>
        <w:t xml:space="preserve"> international agents at the </w:t>
      </w:r>
      <w:proofErr w:type="spellStart"/>
      <w:r w:rsidRPr="00E2264D">
        <w:rPr>
          <w:rFonts w:ascii="Work Sans" w:hAnsi="Work Sans"/>
          <w:sz w:val="24"/>
          <w:highlight w:val="yellow"/>
        </w:rPr>
        <w:t>University</w:t>
      </w:r>
      <w:proofErr w:type="spellEnd"/>
      <w:r w:rsidRPr="00E2264D">
        <w:rPr>
          <w:rFonts w:ascii="Work Sans" w:hAnsi="Work Sans"/>
          <w:sz w:val="24"/>
          <w:highlight w:val="yellow"/>
        </w:rPr>
        <w:t xml:space="preserve"> of Tours » est mis à </w:t>
      </w:r>
      <w:r w:rsidR="005B3BF3" w:rsidRPr="00E2264D">
        <w:rPr>
          <w:rFonts w:ascii="Work Sans" w:hAnsi="Work Sans"/>
          <w:sz w:val="24"/>
          <w:highlight w:val="yellow"/>
        </w:rPr>
        <w:t>leur disposition (cf. item 10).</w:t>
      </w:r>
      <w:bookmarkStart w:id="0" w:name="_GoBack"/>
      <w:bookmarkEnd w:id="0"/>
      <w:r w:rsidR="00236BC2">
        <w:rPr>
          <w:rFonts w:ascii="Work Sans" w:hAnsi="Work Sans"/>
          <w:sz w:val="24"/>
        </w:rPr>
        <w:t xml:space="preserve"> </w:t>
      </w:r>
    </w:p>
    <w:p w:rsidR="00B6106D" w:rsidRPr="00B6106D" w:rsidRDefault="00B6106D" w:rsidP="00B6106D">
      <w:pPr>
        <w:pStyle w:val="Paragraphedeliste"/>
        <w:ind w:left="360"/>
        <w:jc w:val="both"/>
        <w:rPr>
          <w:rFonts w:ascii="Work Sans" w:hAnsi="Work Sans"/>
          <w:sz w:val="24"/>
        </w:rPr>
      </w:pPr>
    </w:p>
    <w:p w:rsidR="00B6106D" w:rsidRPr="00B6106D" w:rsidRDefault="00B6106D" w:rsidP="00B6106D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B6106D">
        <w:rPr>
          <w:rFonts w:ascii="Work Sans" w:hAnsi="Work Sans"/>
          <w:b/>
          <w:sz w:val="24"/>
          <w:szCs w:val="20"/>
          <w:u w:val="single"/>
        </w:rPr>
        <w:t>Item 22 - Les écarts décelés et les propositions d’action(s) :</w:t>
      </w:r>
    </w:p>
    <w:p w:rsidR="00B6106D" w:rsidRPr="00B6106D" w:rsidRDefault="00B6106D" w:rsidP="00B6106D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B6106D" w:rsidRDefault="00E741AA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EB1D31">
        <w:rPr>
          <w:rFonts w:ascii="Work Sans" w:hAnsi="Work Sans"/>
          <w:sz w:val="24"/>
          <w:szCs w:val="20"/>
        </w:rPr>
        <w:t>traduire la majorité des documents en langue anglaise, avec un guichet ou service dédié à cette gestion (rejoint la proposition</w:t>
      </w:r>
      <w:r w:rsidR="005B3BF3">
        <w:rPr>
          <w:rFonts w:ascii="Work Sans" w:hAnsi="Work Sans"/>
          <w:sz w:val="24"/>
          <w:szCs w:val="20"/>
        </w:rPr>
        <w:t xml:space="preserve"> de</w:t>
      </w:r>
      <w:r w:rsidR="00EB1D31">
        <w:rPr>
          <w:rFonts w:ascii="Work Sans" w:hAnsi="Work Sans"/>
          <w:sz w:val="24"/>
          <w:szCs w:val="20"/>
        </w:rPr>
        <w:t xml:space="preserve"> l’item 10).</w:t>
      </w:r>
    </w:p>
    <w:p w:rsidR="00EB1D31" w:rsidRDefault="00EB1D31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EB1D31" w:rsidRDefault="00EB1D31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 élaborer à partir du troisième cycle un livret unique suivant l’agent et recensant l’ensemble de ses activités et compétences, qu’elles soient professionnelles et extra-professionnelles ; possibilité d’une application dédiée ? identifier et attribuer un chargé de GPEC</w:t>
      </w:r>
      <w:r w:rsidR="005B3BF3">
        <w:rPr>
          <w:rFonts w:ascii="Work Sans" w:hAnsi="Work Sans"/>
          <w:sz w:val="24"/>
          <w:szCs w:val="20"/>
        </w:rPr>
        <w:t xml:space="preserve"> pour </w:t>
      </w:r>
      <w:r>
        <w:rPr>
          <w:rFonts w:ascii="Work Sans" w:hAnsi="Work Sans"/>
          <w:sz w:val="24"/>
          <w:szCs w:val="20"/>
        </w:rPr>
        <w:t>ce suivi ?</w:t>
      </w:r>
    </w:p>
    <w:p w:rsidR="00B6106D" w:rsidRPr="000631CF" w:rsidRDefault="00B6106D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0"/>
          <w:szCs w:val="20"/>
        </w:rPr>
      </w:pPr>
    </w:p>
    <w:p w:rsidR="00EB1D31" w:rsidRPr="000631CF" w:rsidRDefault="00EB1D31" w:rsidP="00EB1D31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0"/>
          <w:szCs w:val="20"/>
        </w:rPr>
      </w:pPr>
    </w:p>
    <w:p w:rsidR="00EB1D31" w:rsidRPr="00B6106D" w:rsidRDefault="00EB1D31" w:rsidP="00EB1D31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B6106D">
        <w:rPr>
          <w:rFonts w:ascii="Work Sans" w:hAnsi="Work Sans"/>
          <w:b/>
          <w:sz w:val="24"/>
          <w:szCs w:val="20"/>
          <w:u w:val="single"/>
        </w:rPr>
        <w:t>L’analyse de l’item 2</w:t>
      </w:r>
      <w:r>
        <w:rPr>
          <w:rFonts w:ascii="Work Sans" w:hAnsi="Work Sans"/>
          <w:b/>
          <w:sz w:val="24"/>
          <w:szCs w:val="20"/>
          <w:u w:val="single"/>
        </w:rPr>
        <w:t>3</w:t>
      </w:r>
      <w:r w:rsidRPr="00B6106D">
        <w:rPr>
          <w:rFonts w:ascii="Work Sans" w:hAnsi="Work Sans"/>
          <w:b/>
          <w:sz w:val="24"/>
          <w:szCs w:val="20"/>
          <w:u w:val="single"/>
        </w:rPr>
        <w:t xml:space="preserve"> – </w:t>
      </w:r>
      <w:r w:rsidR="004B5B34">
        <w:rPr>
          <w:rFonts w:ascii="Work Sans" w:hAnsi="Work Sans"/>
          <w:b/>
          <w:sz w:val="24"/>
          <w:szCs w:val="20"/>
          <w:u w:val="single"/>
        </w:rPr>
        <w:t>environnement de la recherche</w:t>
      </w:r>
      <w:r w:rsidRPr="00B6106D">
        <w:rPr>
          <w:rFonts w:ascii="Work Sans" w:hAnsi="Work Sans"/>
          <w:b/>
          <w:sz w:val="24"/>
          <w:szCs w:val="20"/>
          <w:u w:val="single"/>
        </w:rPr>
        <w:t xml:space="preserve">, dresse les constats suivants : </w:t>
      </w:r>
    </w:p>
    <w:p w:rsidR="00EB1D31" w:rsidRDefault="00EB1D31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</w:p>
    <w:p w:rsidR="004B5B34" w:rsidRPr="00B6106D" w:rsidRDefault="0012629A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  <w:r>
        <w:rPr>
          <w:rFonts w:ascii="Work Sans" w:hAnsi="Work Sans"/>
          <w:sz w:val="24"/>
        </w:rPr>
        <w:t>-</w:t>
      </w:r>
      <w:r w:rsidR="005B3BF3">
        <w:rPr>
          <w:rFonts w:ascii="Work Sans" w:hAnsi="Work Sans"/>
          <w:sz w:val="24"/>
        </w:rPr>
        <w:t xml:space="preserve"> là encore, la question des moyens d’accueil concerne essentiellement les doctorants : surface de bureau, poste de travail, matériels informatiques, </w:t>
      </w:r>
      <w:proofErr w:type="spellStart"/>
      <w:r w:rsidR="005B3BF3">
        <w:rPr>
          <w:rFonts w:ascii="Work Sans" w:hAnsi="Work Sans"/>
          <w:sz w:val="24"/>
        </w:rPr>
        <w:t>etc</w:t>
      </w:r>
      <w:proofErr w:type="spellEnd"/>
      <w:r w:rsidR="005B3BF3">
        <w:rPr>
          <w:rFonts w:ascii="Work Sans" w:hAnsi="Work Sans"/>
          <w:sz w:val="24"/>
        </w:rPr>
        <w:t xml:space="preserve"> …</w:t>
      </w:r>
      <w:r w:rsidR="00A861E9">
        <w:rPr>
          <w:rFonts w:ascii="Work Sans" w:hAnsi="Work Sans"/>
          <w:sz w:val="24"/>
        </w:rPr>
        <w:t>, et diffère/varie selon les laboratoires concernés et les budgets.</w:t>
      </w:r>
    </w:p>
    <w:p w:rsidR="00EB1D31" w:rsidRPr="00B6106D" w:rsidRDefault="00EB1D31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</w:p>
    <w:p w:rsidR="00EB1D31" w:rsidRPr="00B6106D" w:rsidRDefault="00EB1D31" w:rsidP="00EB1D31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B6106D">
        <w:rPr>
          <w:rFonts w:ascii="Work Sans" w:hAnsi="Work Sans"/>
          <w:b/>
          <w:sz w:val="24"/>
          <w:szCs w:val="20"/>
          <w:u w:val="single"/>
        </w:rPr>
        <w:t>Item 2</w:t>
      </w:r>
      <w:r>
        <w:rPr>
          <w:rFonts w:ascii="Work Sans" w:hAnsi="Work Sans"/>
          <w:b/>
          <w:sz w:val="24"/>
          <w:szCs w:val="20"/>
          <w:u w:val="single"/>
        </w:rPr>
        <w:t>3</w:t>
      </w:r>
      <w:r w:rsidRPr="00B6106D">
        <w:rPr>
          <w:rFonts w:ascii="Work Sans" w:hAnsi="Work Sans"/>
          <w:b/>
          <w:sz w:val="24"/>
          <w:szCs w:val="20"/>
          <w:u w:val="single"/>
        </w:rPr>
        <w:t xml:space="preserve"> - Les écarts décelés et les propositions d’action(s) :</w:t>
      </w:r>
      <w:r w:rsidR="00A861E9">
        <w:rPr>
          <w:rFonts w:ascii="Work Sans" w:hAnsi="Work Sans"/>
          <w:sz w:val="24"/>
          <w:szCs w:val="20"/>
        </w:rPr>
        <w:t xml:space="preserve"> non abordé</w:t>
      </w:r>
    </w:p>
    <w:p w:rsidR="003B467C" w:rsidRPr="000631CF" w:rsidRDefault="003B467C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0631CF" w:rsidRPr="000631CF" w:rsidRDefault="000631CF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78679B" w:rsidRPr="00FE314B" w:rsidRDefault="00FE314B" w:rsidP="003611A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Work Sans" w:hAnsi="Work Sans"/>
          <w:sz w:val="24"/>
          <w:szCs w:val="20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Fin de réunion et suite :</w:t>
      </w:r>
      <w:r w:rsidRPr="00FE314B">
        <w:rPr>
          <w:rFonts w:ascii="Work Sans" w:hAnsi="Work Sans"/>
          <w:b/>
          <w:sz w:val="24"/>
          <w:szCs w:val="20"/>
        </w:rPr>
        <w:t xml:space="preserve"> </w:t>
      </w:r>
      <w:r w:rsidR="001A39A2">
        <w:rPr>
          <w:rFonts w:ascii="Work Sans" w:hAnsi="Work Sans"/>
          <w:sz w:val="24"/>
          <w:szCs w:val="20"/>
        </w:rPr>
        <w:t>deux</w:t>
      </w:r>
      <w:r w:rsidR="008A37E1" w:rsidRPr="00FE314B">
        <w:rPr>
          <w:rFonts w:ascii="Work Sans" w:hAnsi="Work Sans"/>
          <w:sz w:val="24"/>
          <w:szCs w:val="20"/>
        </w:rPr>
        <w:t xml:space="preserve"> </w:t>
      </w:r>
      <w:proofErr w:type="spellStart"/>
      <w:r w:rsidR="008A37E1" w:rsidRPr="00FE314B">
        <w:rPr>
          <w:rFonts w:ascii="Work Sans" w:hAnsi="Work Sans"/>
          <w:sz w:val="24"/>
          <w:szCs w:val="20"/>
        </w:rPr>
        <w:t>Evento</w:t>
      </w:r>
      <w:r w:rsidR="001A39A2">
        <w:rPr>
          <w:rFonts w:ascii="Work Sans" w:hAnsi="Work Sans"/>
          <w:sz w:val="24"/>
          <w:szCs w:val="20"/>
        </w:rPr>
        <w:t>s</w:t>
      </w:r>
      <w:proofErr w:type="spellEnd"/>
      <w:r w:rsidR="008A37E1" w:rsidRPr="00FE314B">
        <w:rPr>
          <w:rFonts w:ascii="Work Sans" w:hAnsi="Work Sans"/>
          <w:sz w:val="24"/>
          <w:szCs w:val="20"/>
        </w:rPr>
        <w:t xml:space="preserve"> ser</w:t>
      </w:r>
      <w:r w:rsidR="001A39A2">
        <w:rPr>
          <w:rFonts w:ascii="Work Sans" w:hAnsi="Work Sans"/>
          <w:sz w:val="24"/>
          <w:szCs w:val="20"/>
        </w:rPr>
        <w:t>ont</w:t>
      </w:r>
      <w:r w:rsidR="008A37E1" w:rsidRPr="00FE314B">
        <w:rPr>
          <w:rFonts w:ascii="Work Sans" w:hAnsi="Work Sans"/>
          <w:sz w:val="24"/>
          <w:szCs w:val="20"/>
        </w:rPr>
        <w:t xml:space="preserve"> proposé</w:t>
      </w:r>
      <w:r w:rsidR="001A39A2">
        <w:rPr>
          <w:rFonts w:ascii="Work Sans" w:hAnsi="Work Sans"/>
          <w:sz w:val="24"/>
          <w:szCs w:val="20"/>
        </w:rPr>
        <w:t>s</w:t>
      </w:r>
      <w:r w:rsidR="00576700">
        <w:rPr>
          <w:rFonts w:ascii="Work Sans" w:hAnsi="Work Sans"/>
          <w:sz w:val="24"/>
          <w:szCs w:val="20"/>
        </w:rPr>
        <w:t xml:space="preserve"> consécutivement</w:t>
      </w:r>
      <w:r w:rsidR="008A37E1" w:rsidRPr="00FE314B">
        <w:rPr>
          <w:rFonts w:ascii="Work Sans" w:hAnsi="Work Sans"/>
          <w:sz w:val="24"/>
          <w:szCs w:val="20"/>
        </w:rPr>
        <w:t xml:space="preserve"> à l’ensemble </w:t>
      </w:r>
      <w:r w:rsidR="0076619B">
        <w:rPr>
          <w:rFonts w:ascii="Work Sans" w:hAnsi="Work Sans"/>
          <w:sz w:val="24"/>
          <w:szCs w:val="20"/>
        </w:rPr>
        <w:t xml:space="preserve">des membres afin d’organiser la </w:t>
      </w:r>
      <w:r w:rsidR="001A39A2">
        <w:rPr>
          <w:rFonts w:ascii="Work Sans" w:hAnsi="Work Sans"/>
          <w:sz w:val="24"/>
          <w:szCs w:val="20"/>
        </w:rPr>
        <w:t xml:space="preserve">deuxième et </w:t>
      </w:r>
      <w:r w:rsidR="0076619B">
        <w:rPr>
          <w:rFonts w:ascii="Work Sans" w:hAnsi="Work Sans"/>
          <w:sz w:val="24"/>
          <w:szCs w:val="20"/>
        </w:rPr>
        <w:t xml:space="preserve">troisième (et normalement dernière) </w:t>
      </w:r>
      <w:r w:rsidR="008A37E1" w:rsidRPr="00FE314B">
        <w:rPr>
          <w:rFonts w:ascii="Work Sans" w:hAnsi="Work Sans"/>
          <w:sz w:val="24"/>
          <w:szCs w:val="20"/>
        </w:rPr>
        <w:t>réunion.</w:t>
      </w:r>
    </w:p>
    <w:sectPr w:rsidR="0078679B" w:rsidRPr="00FE314B" w:rsidSect="00CE4161">
      <w:pgSz w:w="11906" w:h="16838"/>
      <w:pgMar w:top="680" w:right="1418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ork Sans">
    <w:altName w:val="Arial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568"/>
    <w:multiLevelType w:val="hybridMultilevel"/>
    <w:tmpl w:val="5E846FE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53B51"/>
    <w:multiLevelType w:val="hybridMultilevel"/>
    <w:tmpl w:val="C9DEC98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7A5A35"/>
    <w:multiLevelType w:val="hybridMultilevel"/>
    <w:tmpl w:val="E878007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B4311"/>
    <w:multiLevelType w:val="hybridMultilevel"/>
    <w:tmpl w:val="4EBE25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3667E4"/>
    <w:multiLevelType w:val="hybridMultilevel"/>
    <w:tmpl w:val="6F46734C"/>
    <w:lvl w:ilvl="0" w:tplc="08F4BCAA">
      <w:start w:val="1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E627C7D"/>
    <w:multiLevelType w:val="hybridMultilevel"/>
    <w:tmpl w:val="27C4E1A2"/>
    <w:lvl w:ilvl="0" w:tplc="FD7E6FB0">
      <w:numFmt w:val="bullet"/>
      <w:lvlText w:val="-"/>
      <w:lvlJc w:val="left"/>
      <w:pPr>
        <w:ind w:left="927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37055D"/>
    <w:multiLevelType w:val="hybridMultilevel"/>
    <w:tmpl w:val="8BCC8B34"/>
    <w:lvl w:ilvl="0" w:tplc="A7D40FCC">
      <w:start w:val="2"/>
      <w:numFmt w:val="bullet"/>
      <w:lvlText w:val="-"/>
      <w:lvlJc w:val="left"/>
      <w:pPr>
        <w:ind w:left="777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D1E119E"/>
    <w:multiLevelType w:val="hybridMultilevel"/>
    <w:tmpl w:val="2DA0C35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744DB4C">
      <w:numFmt w:val="bullet"/>
      <w:lvlText w:val="-"/>
      <w:lvlJc w:val="left"/>
      <w:pPr>
        <w:ind w:left="2007" w:hanging="360"/>
      </w:pPr>
      <w:rPr>
        <w:rFonts w:ascii="Work Sans" w:eastAsiaTheme="minorHAnsi" w:hAnsi="Work San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ED7B82"/>
    <w:multiLevelType w:val="hybridMultilevel"/>
    <w:tmpl w:val="AE9C1C32"/>
    <w:lvl w:ilvl="0" w:tplc="024EBEFE">
      <w:start w:val="2"/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96B82"/>
    <w:multiLevelType w:val="hybridMultilevel"/>
    <w:tmpl w:val="3D4035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C5"/>
    <w:rsid w:val="00005248"/>
    <w:rsid w:val="00006177"/>
    <w:rsid w:val="000131E3"/>
    <w:rsid w:val="00014660"/>
    <w:rsid w:val="00027CFB"/>
    <w:rsid w:val="00034488"/>
    <w:rsid w:val="000356E7"/>
    <w:rsid w:val="000603DF"/>
    <w:rsid w:val="000631CF"/>
    <w:rsid w:val="00080541"/>
    <w:rsid w:val="000857F8"/>
    <w:rsid w:val="00091CDB"/>
    <w:rsid w:val="00097CE5"/>
    <w:rsid w:val="000B2B6B"/>
    <w:rsid w:val="000B311D"/>
    <w:rsid w:val="000C2EAE"/>
    <w:rsid w:val="000C4510"/>
    <w:rsid w:val="000D608B"/>
    <w:rsid w:val="000D67FF"/>
    <w:rsid w:val="000F039A"/>
    <w:rsid w:val="000F12AD"/>
    <w:rsid w:val="0010073A"/>
    <w:rsid w:val="001134F6"/>
    <w:rsid w:val="0012629A"/>
    <w:rsid w:val="001464A6"/>
    <w:rsid w:val="00154BF4"/>
    <w:rsid w:val="00170327"/>
    <w:rsid w:val="001811D6"/>
    <w:rsid w:val="0019602A"/>
    <w:rsid w:val="001A39A2"/>
    <w:rsid w:val="001A7622"/>
    <w:rsid w:val="001B71AF"/>
    <w:rsid w:val="001D5A26"/>
    <w:rsid w:val="001D5FFA"/>
    <w:rsid w:val="001D735F"/>
    <w:rsid w:val="00206805"/>
    <w:rsid w:val="00211E98"/>
    <w:rsid w:val="00226C9A"/>
    <w:rsid w:val="00236BC2"/>
    <w:rsid w:val="00244399"/>
    <w:rsid w:val="0024447B"/>
    <w:rsid w:val="00247902"/>
    <w:rsid w:val="002503DA"/>
    <w:rsid w:val="002553FC"/>
    <w:rsid w:val="002750A4"/>
    <w:rsid w:val="002B14B4"/>
    <w:rsid w:val="002C5C7B"/>
    <w:rsid w:val="002D20FF"/>
    <w:rsid w:val="002E342A"/>
    <w:rsid w:val="00300D48"/>
    <w:rsid w:val="00331A6D"/>
    <w:rsid w:val="00341153"/>
    <w:rsid w:val="0034290C"/>
    <w:rsid w:val="0035603B"/>
    <w:rsid w:val="003664AF"/>
    <w:rsid w:val="00376671"/>
    <w:rsid w:val="00376C15"/>
    <w:rsid w:val="00380C6C"/>
    <w:rsid w:val="00382C0D"/>
    <w:rsid w:val="003835C2"/>
    <w:rsid w:val="003A1B95"/>
    <w:rsid w:val="003B0CC6"/>
    <w:rsid w:val="003B467C"/>
    <w:rsid w:val="003C2CFD"/>
    <w:rsid w:val="003C7E44"/>
    <w:rsid w:val="003D2959"/>
    <w:rsid w:val="003E7AA2"/>
    <w:rsid w:val="003F48DC"/>
    <w:rsid w:val="003F5195"/>
    <w:rsid w:val="0040314D"/>
    <w:rsid w:val="00410CC7"/>
    <w:rsid w:val="00412032"/>
    <w:rsid w:val="00417A22"/>
    <w:rsid w:val="0045645A"/>
    <w:rsid w:val="00470271"/>
    <w:rsid w:val="004748EA"/>
    <w:rsid w:val="004B0F53"/>
    <w:rsid w:val="004B5B34"/>
    <w:rsid w:val="004C09E6"/>
    <w:rsid w:val="004C450F"/>
    <w:rsid w:val="004D79E9"/>
    <w:rsid w:val="004F379B"/>
    <w:rsid w:val="00506978"/>
    <w:rsid w:val="00546CA5"/>
    <w:rsid w:val="005560D8"/>
    <w:rsid w:val="005726FE"/>
    <w:rsid w:val="00573671"/>
    <w:rsid w:val="00576700"/>
    <w:rsid w:val="00584DF1"/>
    <w:rsid w:val="005938D7"/>
    <w:rsid w:val="005958E3"/>
    <w:rsid w:val="005A0F03"/>
    <w:rsid w:val="005B3BF3"/>
    <w:rsid w:val="005C6CB3"/>
    <w:rsid w:val="005C7B88"/>
    <w:rsid w:val="005D5DB6"/>
    <w:rsid w:val="00607EDB"/>
    <w:rsid w:val="00613CBC"/>
    <w:rsid w:val="00660822"/>
    <w:rsid w:val="00663132"/>
    <w:rsid w:val="006766C2"/>
    <w:rsid w:val="00696C0F"/>
    <w:rsid w:val="006A54CA"/>
    <w:rsid w:val="006C3337"/>
    <w:rsid w:val="006C7104"/>
    <w:rsid w:val="006D320F"/>
    <w:rsid w:val="006D5DDF"/>
    <w:rsid w:val="006D6262"/>
    <w:rsid w:val="006D6413"/>
    <w:rsid w:val="006E598A"/>
    <w:rsid w:val="006E6E08"/>
    <w:rsid w:val="0071771F"/>
    <w:rsid w:val="00727565"/>
    <w:rsid w:val="007346AF"/>
    <w:rsid w:val="007471DF"/>
    <w:rsid w:val="00752B3F"/>
    <w:rsid w:val="007600AF"/>
    <w:rsid w:val="00762E6C"/>
    <w:rsid w:val="00764BD4"/>
    <w:rsid w:val="0076619B"/>
    <w:rsid w:val="0078053C"/>
    <w:rsid w:val="00785F60"/>
    <w:rsid w:val="0078679B"/>
    <w:rsid w:val="00786DFF"/>
    <w:rsid w:val="00791C4E"/>
    <w:rsid w:val="00792162"/>
    <w:rsid w:val="007A5D00"/>
    <w:rsid w:val="007B35F5"/>
    <w:rsid w:val="007C3FEB"/>
    <w:rsid w:val="007D73B9"/>
    <w:rsid w:val="007E6D6E"/>
    <w:rsid w:val="00807B3D"/>
    <w:rsid w:val="00807DB6"/>
    <w:rsid w:val="00807DCA"/>
    <w:rsid w:val="00815171"/>
    <w:rsid w:val="00816F0A"/>
    <w:rsid w:val="008172C2"/>
    <w:rsid w:val="00830F6C"/>
    <w:rsid w:val="0083538F"/>
    <w:rsid w:val="00861A8C"/>
    <w:rsid w:val="00867955"/>
    <w:rsid w:val="008721BF"/>
    <w:rsid w:val="00874043"/>
    <w:rsid w:val="008741F9"/>
    <w:rsid w:val="008755F9"/>
    <w:rsid w:val="008805AA"/>
    <w:rsid w:val="0089443E"/>
    <w:rsid w:val="008A37E1"/>
    <w:rsid w:val="008C35B2"/>
    <w:rsid w:val="008F6FAF"/>
    <w:rsid w:val="009043C2"/>
    <w:rsid w:val="00917C0D"/>
    <w:rsid w:val="009217D8"/>
    <w:rsid w:val="00926FD5"/>
    <w:rsid w:val="0093127B"/>
    <w:rsid w:val="009358CC"/>
    <w:rsid w:val="00937B9D"/>
    <w:rsid w:val="00937BD8"/>
    <w:rsid w:val="00960F6D"/>
    <w:rsid w:val="00967689"/>
    <w:rsid w:val="00994E63"/>
    <w:rsid w:val="009B0347"/>
    <w:rsid w:val="009C25B9"/>
    <w:rsid w:val="009D5E84"/>
    <w:rsid w:val="009E479D"/>
    <w:rsid w:val="009E6E02"/>
    <w:rsid w:val="00A0410D"/>
    <w:rsid w:val="00A05881"/>
    <w:rsid w:val="00A12006"/>
    <w:rsid w:val="00A22302"/>
    <w:rsid w:val="00A26727"/>
    <w:rsid w:val="00A318EB"/>
    <w:rsid w:val="00A7345A"/>
    <w:rsid w:val="00A815F1"/>
    <w:rsid w:val="00A8258C"/>
    <w:rsid w:val="00A8279A"/>
    <w:rsid w:val="00A83D4A"/>
    <w:rsid w:val="00A861E9"/>
    <w:rsid w:val="00A94031"/>
    <w:rsid w:val="00A97E2E"/>
    <w:rsid w:val="00AB34FB"/>
    <w:rsid w:val="00AB5900"/>
    <w:rsid w:val="00AC3C18"/>
    <w:rsid w:val="00AD134F"/>
    <w:rsid w:val="00AD6810"/>
    <w:rsid w:val="00AD695A"/>
    <w:rsid w:val="00AE6313"/>
    <w:rsid w:val="00AF5FA4"/>
    <w:rsid w:val="00B211F8"/>
    <w:rsid w:val="00B25BC0"/>
    <w:rsid w:val="00B27154"/>
    <w:rsid w:val="00B52915"/>
    <w:rsid w:val="00B6106D"/>
    <w:rsid w:val="00B6577B"/>
    <w:rsid w:val="00B87D52"/>
    <w:rsid w:val="00B91A56"/>
    <w:rsid w:val="00BA2C24"/>
    <w:rsid w:val="00BA7EFC"/>
    <w:rsid w:val="00BB450B"/>
    <w:rsid w:val="00BC1D84"/>
    <w:rsid w:val="00BD68C7"/>
    <w:rsid w:val="00BE29F5"/>
    <w:rsid w:val="00BE6900"/>
    <w:rsid w:val="00BF2AF4"/>
    <w:rsid w:val="00C04765"/>
    <w:rsid w:val="00C0585C"/>
    <w:rsid w:val="00C17135"/>
    <w:rsid w:val="00C22AAC"/>
    <w:rsid w:val="00C279A6"/>
    <w:rsid w:val="00C31FD4"/>
    <w:rsid w:val="00C329D1"/>
    <w:rsid w:val="00C3749A"/>
    <w:rsid w:val="00C41B26"/>
    <w:rsid w:val="00C55D61"/>
    <w:rsid w:val="00C7792E"/>
    <w:rsid w:val="00C935C0"/>
    <w:rsid w:val="00C97DFE"/>
    <w:rsid w:val="00C97FF0"/>
    <w:rsid w:val="00CA40E4"/>
    <w:rsid w:val="00CA67C8"/>
    <w:rsid w:val="00CB39D6"/>
    <w:rsid w:val="00CB4D8E"/>
    <w:rsid w:val="00CC76B5"/>
    <w:rsid w:val="00CE17CD"/>
    <w:rsid w:val="00CE4161"/>
    <w:rsid w:val="00CE5DD4"/>
    <w:rsid w:val="00CF6F13"/>
    <w:rsid w:val="00D03AE6"/>
    <w:rsid w:val="00D210F2"/>
    <w:rsid w:val="00D23207"/>
    <w:rsid w:val="00D31344"/>
    <w:rsid w:val="00D50371"/>
    <w:rsid w:val="00D946BA"/>
    <w:rsid w:val="00DA362B"/>
    <w:rsid w:val="00DB53DA"/>
    <w:rsid w:val="00DF0E63"/>
    <w:rsid w:val="00DF21D8"/>
    <w:rsid w:val="00DF4104"/>
    <w:rsid w:val="00E00FC5"/>
    <w:rsid w:val="00E04741"/>
    <w:rsid w:val="00E1656C"/>
    <w:rsid w:val="00E2210C"/>
    <w:rsid w:val="00E2264D"/>
    <w:rsid w:val="00E26B9D"/>
    <w:rsid w:val="00E333EC"/>
    <w:rsid w:val="00E43E27"/>
    <w:rsid w:val="00E45122"/>
    <w:rsid w:val="00E451AD"/>
    <w:rsid w:val="00E6554F"/>
    <w:rsid w:val="00E658AC"/>
    <w:rsid w:val="00E67E69"/>
    <w:rsid w:val="00E741AA"/>
    <w:rsid w:val="00E94646"/>
    <w:rsid w:val="00EA2656"/>
    <w:rsid w:val="00EA477A"/>
    <w:rsid w:val="00EA63A6"/>
    <w:rsid w:val="00EB1D31"/>
    <w:rsid w:val="00EC13B9"/>
    <w:rsid w:val="00EC1AC8"/>
    <w:rsid w:val="00EC3805"/>
    <w:rsid w:val="00EC7E12"/>
    <w:rsid w:val="00EE3380"/>
    <w:rsid w:val="00EE3897"/>
    <w:rsid w:val="00EE7E48"/>
    <w:rsid w:val="00EF15D1"/>
    <w:rsid w:val="00EF3D4B"/>
    <w:rsid w:val="00EF6D43"/>
    <w:rsid w:val="00F015AC"/>
    <w:rsid w:val="00F03CFD"/>
    <w:rsid w:val="00F42088"/>
    <w:rsid w:val="00F67AC8"/>
    <w:rsid w:val="00F86111"/>
    <w:rsid w:val="00F878D3"/>
    <w:rsid w:val="00F92B7C"/>
    <w:rsid w:val="00FA2BE2"/>
    <w:rsid w:val="00FB5369"/>
    <w:rsid w:val="00FE314B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7210-C454-4B7E-AB3A-9A68DEA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4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7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C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71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1B95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14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36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656C"/>
    <w:rPr>
      <w:color w:val="954F72" w:themeColor="followedHyperlink"/>
      <w:u w:val="single"/>
    </w:rPr>
  </w:style>
  <w:style w:type="character" w:customStyle="1" w:styleId="st">
    <w:name w:val="st"/>
    <w:basedOn w:val="Policepardfaut"/>
    <w:rsid w:val="003E7AA2"/>
  </w:style>
  <w:style w:type="character" w:styleId="Accentuation">
    <w:name w:val="Emphasis"/>
    <w:basedOn w:val="Policepardfaut"/>
    <w:uiPriority w:val="20"/>
    <w:qFormat/>
    <w:rsid w:val="003E7AA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4D79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nor">
    <w:name w:val="nor_nor"/>
    <w:basedOn w:val="Policepardfaut"/>
    <w:rsid w:val="0024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s%20documents\CAP%20-%20AUDIT\HRS4R\GT3\Protocole%20de&#769;finitif%20te&#769;le&#769;travail%20valide&#769;%20par%20le%20CA%20du%206.05.19.pdf" TargetMode="External"/><Relationship Id="rId13" Type="http://schemas.openxmlformats.org/officeDocument/2006/relationships/hyperlink" Target="file:///C:\Mes%20documents\CAP%20-%20AUDIT\HRS4R\GT3\FemNoms.2019.pdf" TargetMode="External"/><Relationship Id="rId18" Type="http://schemas.openxmlformats.org/officeDocument/2006/relationships/hyperlink" Target="../2019%2004%2017%20-%20Lettre%20signe&#769;e%20par%20la%20Ministre%20et%20les%20confe&#769;rences%20-%20Utilisation%20pre&#769;nom%20d'usage%20e&#769;tudiants%20et%20personnels%20transgenres%20(4)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C:\Mes%20documents\CAP%20-%20AUDIT\HRS4R\GT3\Sche&#769;ma%20directeur%20e&#769;galite&#769;%20-%20juin%202018.pdf" TargetMode="External"/><Relationship Id="rId12" Type="http://schemas.openxmlformats.org/officeDocument/2006/relationships/hyperlink" Target="file:///C:\Mes%20documents\CAP%20-%20AUDIT\HRS4R\GT3\Prop.Transg.Uni.3.07.2017.docx" TargetMode="External"/><Relationship Id="rId17" Type="http://schemas.openxmlformats.org/officeDocument/2006/relationships/hyperlink" Target="file:///C:\Mes%20documents\CAP%20-%20AUDIT\HRS4R\5.5.%20D&#233;lib&#233;ration%20n&#176;2018-40%20approuvant%20le%20plan%20d'action%20pour%20la%20mise%20en%20oeuvre%20du%20droit%20&#224;%20la%20d&#233;connex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Mes%20documents\CAP%20-%20AUDIT\HRS4R\Charte-theses-CVL-2017-1-1.doc" TargetMode="External"/><Relationship Id="rId20" Type="http://schemas.openxmlformats.org/officeDocument/2006/relationships/hyperlink" Target="file:///C:\Mes%20documents\CAP%20-%20AUDIT\HRS4R\GT3\DRH%20-%20Accueil%20internationaux_Engl._juillet_201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Mes%20documents\CAP%20-%20AUDIT\HRS4R\GT3\SDH_2017-2020_10.03.2017.pdf" TargetMode="External"/><Relationship Id="rId11" Type="http://schemas.openxmlformats.org/officeDocument/2006/relationships/hyperlink" Target="http://www.indre-et-loire.gouv.fr/Politiques-publiques/Droits-des-femmes-et-egalite-entre-femmes-hommes/Prevention-et-lutte-contre-les-violences-faites-aux-femmes/Protocole-departemental-de-prevention-et-de-lutte-contre-les-violences-faites-aux-femmes/Protocole-departemental-de-prevention-et-de-lutte-contre-les-violences-faites-aux-femm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Mes%20documents\CAP%20-%20AUDIT\HRS4R\GT3\Chiffres-Cle&#769;s.Egalite&#769;.2019.Long.pdf" TargetMode="External"/><Relationship Id="rId10" Type="http://schemas.openxmlformats.org/officeDocument/2006/relationships/hyperlink" Target="file:///C:\Mes%20documents\CAP%20-%20AUDIT\HRS4R\GT3\Prot.%20Viol.%208.07.2019.pdf" TargetMode="External"/><Relationship Id="rId19" Type="http://schemas.openxmlformats.org/officeDocument/2006/relationships/hyperlink" Target="file:///C:\Mes%20documents\CAP%20-%20AUDIT\HRS4R\GT3\DRH%20-%20Accueil%20internationaux_Engl._juillet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Mes%20documents\CAP%20-%20AUDIT\HRS4R\GT3\cadre%20de%20travail%20modifie&#769;%20au%20vu%20du%20CA%20du%206%20mai%202019.pdf" TargetMode="External"/><Relationship Id="rId14" Type="http://schemas.openxmlformats.org/officeDocument/2006/relationships/hyperlink" Target="file:///C:\Mes%20documents\CAP%20-%20AUDIT\HRS4R\GT3\Chiffres-Cle&#769;s.Egalite&#769;2019.Synth.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6200-EC30-4580-8410-00B4D9EC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1452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udet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Matyjas</dc:creator>
  <cp:lastModifiedBy>Frederic Matyjas</cp:lastModifiedBy>
  <cp:revision>16</cp:revision>
  <cp:lastPrinted>2019-11-19T09:25:00Z</cp:lastPrinted>
  <dcterms:created xsi:type="dcterms:W3CDTF">2019-11-19T10:59:00Z</dcterms:created>
  <dcterms:modified xsi:type="dcterms:W3CDTF">2020-03-27T10:44:00Z</dcterms:modified>
</cp:coreProperties>
</file>