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793" w:rsidRDefault="005C3793" w:rsidP="00E0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/>
          <w:b/>
          <w:sz w:val="28"/>
        </w:rPr>
      </w:pPr>
      <w:r>
        <w:rPr>
          <w:rFonts w:ascii="Work Sans" w:hAnsi="Work Sans"/>
          <w:b/>
          <w:sz w:val="28"/>
        </w:rPr>
        <w:t>HRS4R – Groupe de travail n° 1</w:t>
      </w:r>
      <w:r w:rsidR="00764BD4">
        <w:rPr>
          <w:rFonts w:ascii="Work Sans" w:hAnsi="Work Sans"/>
          <w:b/>
          <w:sz w:val="28"/>
        </w:rPr>
        <w:t xml:space="preserve"> : </w:t>
      </w:r>
      <w:r>
        <w:rPr>
          <w:rFonts w:ascii="Work Sans" w:hAnsi="Work Sans"/>
          <w:b/>
          <w:sz w:val="28"/>
        </w:rPr>
        <w:t xml:space="preserve">aspects éthiques </w:t>
      </w:r>
    </w:p>
    <w:p w:rsidR="007346AF" w:rsidRDefault="005C3793" w:rsidP="00E00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Work Sans" w:hAnsi="Work Sans"/>
          <w:b/>
          <w:sz w:val="28"/>
        </w:rPr>
      </w:pPr>
      <w:proofErr w:type="gramStart"/>
      <w:r>
        <w:rPr>
          <w:rFonts w:ascii="Work Sans" w:hAnsi="Work Sans"/>
          <w:b/>
          <w:sz w:val="28"/>
        </w:rPr>
        <w:t>et</w:t>
      </w:r>
      <w:proofErr w:type="gramEnd"/>
      <w:r>
        <w:rPr>
          <w:rFonts w:ascii="Work Sans" w:hAnsi="Work Sans"/>
          <w:b/>
          <w:sz w:val="28"/>
        </w:rPr>
        <w:t xml:space="preserve"> professionnels du métier de chercheur</w:t>
      </w:r>
    </w:p>
    <w:p w:rsidR="00E00FC5" w:rsidRPr="00727565" w:rsidRDefault="00E00FC5" w:rsidP="00E00FC5">
      <w:pPr>
        <w:jc w:val="center"/>
        <w:rPr>
          <w:rFonts w:ascii="Work Sans" w:hAnsi="Work Sans"/>
          <w:i/>
          <w:sz w:val="16"/>
        </w:rPr>
      </w:pPr>
    </w:p>
    <w:p w:rsidR="00E00FC5" w:rsidRPr="00DB53DA" w:rsidRDefault="00DF0E63" w:rsidP="00E00FC5">
      <w:pPr>
        <w:jc w:val="center"/>
        <w:rPr>
          <w:rFonts w:ascii="Work Sans" w:hAnsi="Work Sans"/>
          <w:sz w:val="28"/>
          <w:u w:val="single"/>
        </w:rPr>
      </w:pPr>
      <w:r w:rsidRPr="00DB53DA">
        <w:rPr>
          <w:rFonts w:ascii="Work Sans" w:hAnsi="Work Sans"/>
          <w:sz w:val="28"/>
          <w:u w:val="single"/>
        </w:rPr>
        <w:t xml:space="preserve">Compte-rendu </w:t>
      </w:r>
      <w:r w:rsidR="00B52915" w:rsidRPr="00DB53DA">
        <w:rPr>
          <w:rFonts w:ascii="Work Sans" w:hAnsi="Work Sans"/>
          <w:sz w:val="28"/>
          <w:u w:val="single"/>
        </w:rPr>
        <w:t xml:space="preserve">de la </w:t>
      </w:r>
      <w:r w:rsidRPr="00DB53DA">
        <w:rPr>
          <w:rFonts w:ascii="Work Sans" w:hAnsi="Work Sans"/>
          <w:sz w:val="28"/>
          <w:u w:val="single"/>
        </w:rPr>
        <w:t xml:space="preserve">réunion du </w:t>
      </w:r>
      <w:r w:rsidR="00A82ADE">
        <w:rPr>
          <w:rFonts w:ascii="Work Sans" w:hAnsi="Work Sans"/>
          <w:sz w:val="28"/>
          <w:u w:val="single"/>
        </w:rPr>
        <w:t>13</w:t>
      </w:r>
      <w:r w:rsidR="00764BD4" w:rsidRPr="00DB53DA">
        <w:rPr>
          <w:rFonts w:ascii="Work Sans" w:hAnsi="Work Sans"/>
          <w:sz w:val="28"/>
          <w:u w:val="single"/>
        </w:rPr>
        <w:t>/</w:t>
      </w:r>
      <w:r w:rsidR="00A82ADE">
        <w:rPr>
          <w:rFonts w:ascii="Work Sans" w:hAnsi="Work Sans"/>
          <w:sz w:val="28"/>
          <w:u w:val="single"/>
        </w:rPr>
        <w:t>11</w:t>
      </w:r>
      <w:r w:rsidR="00E00FC5" w:rsidRPr="00DB53DA">
        <w:rPr>
          <w:rFonts w:ascii="Work Sans" w:hAnsi="Work Sans"/>
          <w:sz w:val="28"/>
          <w:u w:val="single"/>
        </w:rPr>
        <w:t>/201</w:t>
      </w:r>
      <w:r w:rsidR="00764BD4" w:rsidRPr="00DB53DA">
        <w:rPr>
          <w:rFonts w:ascii="Work Sans" w:hAnsi="Work Sans"/>
          <w:sz w:val="28"/>
          <w:u w:val="single"/>
        </w:rPr>
        <w:t>9</w:t>
      </w:r>
    </w:p>
    <w:p w:rsidR="00E00FC5" w:rsidRPr="008A37E1" w:rsidRDefault="00E00FC5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Présents :</w:t>
      </w:r>
      <w:r w:rsidRPr="008A37E1">
        <w:rPr>
          <w:rFonts w:ascii="Work Sans" w:hAnsi="Work Sans"/>
          <w:i/>
          <w:sz w:val="20"/>
        </w:rPr>
        <w:t xml:space="preserve"> </w:t>
      </w:r>
      <w:r w:rsidR="00A82ADE">
        <w:rPr>
          <w:rFonts w:ascii="Work Sans" w:hAnsi="Work Sans"/>
          <w:i/>
          <w:sz w:val="20"/>
        </w:rPr>
        <w:t>Isabelle GUILLOUET</w:t>
      </w:r>
      <w:r w:rsidR="008A37E1" w:rsidRPr="008A37E1">
        <w:rPr>
          <w:rFonts w:ascii="Work Sans" w:hAnsi="Work Sans"/>
          <w:i/>
          <w:sz w:val="20"/>
        </w:rPr>
        <w:t xml:space="preserve">, Manuelle </w:t>
      </w:r>
      <w:r w:rsidR="00DA362B" w:rsidRPr="00EF15D1">
        <w:rPr>
          <w:rFonts w:ascii="Work Sans" w:hAnsi="Work Sans"/>
          <w:i/>
          <w:sz w:val="20"/>
        </w:rPr>
        <w:t>RUILIER</w:t>
      </w:r>
      <w:r w:rsidR="008A6667">
        <w:rPr>
          <w:rFonts w:ascii="Work Sans" w:hAnsi="Work Sans"/>
          <w:i/>
          <w:sz w:val="20"/>
        </w:rPr>
        <w:t xml:space="preserve">, </w:t>
      </w:r>
      <w:r w:rsidR="00305B9F">
        <w:rPr>
          <w:rFonts w:ascii="Work Sans" w:hAnsi="Work Sans"/>
          <w:i/>
          <w:sz w:val="20"/>
        </w:rPr>
        <w:t xml:space="preserve">Morgane GUIBERT, </w:t>
      </w:r>
      <w:r w:rsidR="000131E3" w:rsidRPr="00305B9F">
        <w:rPr>
          <w:rFonts w:ascii="Work Sans" w:hAnsi="Work Sans"/>
          <w:b/>
          <w:i/>
          <w:sz w:val="20"/>
        </w:rPr>
        <w:t>Daniel ALQUIER</w:t>
      </w:r>
      <w:r w:rsidR="000131E3" w:rsidRPr="008A37E1">
        <w:rPr>
          <w:rFonts w:ascii="Work Sans" w:hAnsi="Work Sans"/>
          <w:i/>
          <w:sz w:val="20"/>
        </w:rPr>
        <w:t xml:space="preserve">, </w:t>
      </w:r>
      <w:r w:rsidR="009528C0" w:rsidRPr="000D16CC">
        <w:rPr>
          <w:rFonts w:ascii="Work Sans" w:hAnsi="Work Sans"/>
          <w:b/>
          <w:i/>
          <w:color w:val="FF0000"/>
          <w:sz w:val="20"/>
        </w:rPr>
        <w:t>Jérôme CASAS</w:t>
      </w:r>
      <w:r w:rsidR="009528C0">
        <w:rPr>
          <w:rFonts w:ascii="Work Sans" w:hAnsi="Work Sans"/>
          <w:i/>
          <w:sz w:val="20"/>
        </w:rPr>
        <w:t xml:space="preserve">, </w:t>
      </w:r>
      <w:r w:rsidR="008A6667">
        <w:rPr>
          <w:rFonts w:ascii="Work Sans" w:hAnsi="Work Sans"/>
          <w:i/>
          <w:sz w:val="20"/>
        </w:rPr>
        <w:t xml:space="preserve">Christian GARBAR, </w:t>
      </w:r>
      <w:proofErr w:type="spellStart"/>
      <w:r w:rsidR="008A6667">
        <w:rPr>
          <w:rFonts w:ascii="Work Sans" w:hAnsi="Work Sans"/>
          <w:i/>
          <w:sz w:val="20"/>
        </w:rPr>
        <w:t>Eric</w:t>
      </w:r>
      <w:proofErr w:type="spellEnd"/>
      <w:r w:rsidR="008A6667">
        <w:rPr>
          <w:rFonts w:ascii="Work Sans" w:hAnsi="Work Sans"/>
          <w:i/>
          <w:sz w:val="20"/>
        </w:rPr>
        <w:t xml:space="preserve"> BRICOUT</w:t>
      </w:r>
      <w:r w:rsidR="000131E3" w:rsidRPr="008A37E1">
        <w:rPr>
          <w:rFonts w:ascii="Work Sans" w:hAnsi="Work Sans"/>
          <w:i/>
          <w:sz w:val="20"/>
        </w:rPr>
        <w:t xml:space="preserve">, </w:t>
      </w:r>
      <w:r w:rsidR="008A37E1" w:rsidRPr="008A37E1">
        <w:rPr>
          <w:rFonts w:ascii="Work Sans" w:hAnsi="Work Sans"/>
          <w:i/>
          <w:sz w:val="20"/>
        </w:rPr>
        <w:t>Jérôme THIBONNET,</w:t>
      </w:r>
      <w:r w:rsidR="000131E3" w:rsidRPr="008A37E1">
        <w:rPr>
          <w:rFonts w:ascii="Work Sans" w:hAnsi="Work Sans"/>
          <w:i/>
          <w:sz w:val="20"/>
        </w:rPr>
        <w:t xml:space="preserve"> Frédéric MATYJAS</w:t>
      </w:r>
    </w:p>
    <w:p w:rsidR="00764BD4" w:rsidRDefault="00764BD4" w:rsidP="00E00FC5">
      <w:pPr>
        <w:jc w:val="both"/>
        <w:rPr>
          <w:rFonts w:ascii="Work Sans" w:hAnsi="Work Sans"/>
          <w:i/>
          <w:sz w:val="20"/>
        </w:rPr>
      </w:pPr>
      <w:r w:rsidRPr="008A37E1">
        <w:rPr>
          <w:rFonts w:ascii="Work Sans" w:hAnsi="Work Sans"/>
          <w:i/>
          <w:sz w:val="20"/>
          <w:u w:val="single"/>
        </w:rPr>
        <w:t>Excusés :</w:t>
      </w:r>
      <w:r w:rsidRPr="008A37E1">
        <w:rPr>
          <w:rFonts w:ascii="Work Sans" w:hAnsi="Work Sans"/>
          <w:i/>
          <w:sz w:val="20"/>
        </w:rPr>
        <w:t xml:space="preserve"> </w:t>
      </w:r>
      <w:r w:rsidR="000D16CC" w:rsidRPr="000D16CC">
        <w:rPr>
          <w:rFonts w:ascii="Work Sans" w:hAnsi="Work Sans"/>
          <w:i/>
          <w:sz w:val="20"/>
        </w:rPr>
        <w:t>Françoise DEBIERRE-GROCKIEGO</w:t>
      </w:r>
      <w:r w:rsidR="000D16CC">
        <w:rPr>
          <w:rFonts w:ascii="Work Sans" w:hAnsi="Work Sans"/>
          <w:i/>
          <w:sz w:val="20"/>
        </w:rPr>
        <w:t>, Lydia SEABRA, Killian RASCHEL, Daniel MIRZA, Thierry MOREAU, Benjamin LAVERGNE</w:t>
      </w:r>
    </w:p>
    <w:p w:rsidR="00DB53DA" w:rsidRDefault="00DB53D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EA477A" w:rsidRPr="000B311D" w:rsidRDefault="000D16CC" w:rsidP="00EA477A">
      <w:pPr>
        <w:pStyle w:val="Paragraphedeliste"/>
        <w:numPr>
          <w:ilvl w:val="0"/>
          <w:numId w:val="2"/>
        </w:numPr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L’analyse de l’item </w:t>
      </w:r>
      <w:r>
        <w:rPr>
          <w:rFonts w:ascii="Work Sans" w:hAnsi="Work Sans"/>
          <w:b/>
          <w:sz w:val="24"/>
          <w:szCs w:val="20"/>
          <w:u w:val="single"/>
        </w:rPr>
        <w:t xml:space="preserve">4 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– </w:t>
      </w:r>
      <w:r>
        <w:rPr>
          <w:rFonts w:ascii="Work Sans" w:hAnsi="Work Sans"/>
          <w:b/>
          <w:sz w:val="24"/>
          <w:szCs w:val="20"/>
          <w:u w:val="single"/>
        </w:rPr>
        <w:t>Attitude professionnelle : environnement de recherche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, dresse les constats suivants : </w:t>
      </w:r>
      <w:r w:rsidR="00EA477A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</w:p>
    <w:p w:rsidR="00EA477A" w:rsidRDefault="00EA477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9C3C3A" w:rsidRDefault="00E85CC2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BF4950" w:rsidRPr="0068043A">
        <w:rPr>
          <w:rFonts w:ascii="Work Sans" w:hAnsi="Work Sans"/>
          <w:sz w:val="24"/>
          <w:szCs w:val="20"/>
          <w:highlight w:val="yellow"/>
        </w:rPr>
        <w:t>un livret rassemblant l</w:t>
      </w:r>
      <w:r w:rsidR="009C3C3A" w:rsidRPr="0068043A">
        <w:rPr>
          <w:rFonts w:ascii="Work Sans" w:hAnsi="Work Sans"/>
          <w:sz w:val="24"/>
          <w:szCs w:val="20"/>
          <w:highlight w:val="yellow"/>
        </w:rPr>
        <w:t xml:space="preserve">es informations générales utiles est diffusé aux nouveaux arrivants, </w:t>
      </w:r>
      <w:r w:rsidR="00087B53" w:rsidRPr="0068043A">
        <w:rPr>
          <w:rFonts w:ascii="Work Sans" w:hAnsi="Work Sans"/>
          <w:sz w:val="24"/>
          <w:szCs w:val="20"/>
          <w:highlight w:val="yellow"/>
        </w:rPr>
        <w:t>avec en supplément u</w:t>
      </w:r>
      <w:r w:rsidR="009C3C3A" w:rsidRPr="0068043A">
        <w:rPr>
          <w:rFonts w:ascii="Work Sans" w:hAnsi="Work Sans"/>
          <w:sz w:val="24"/>
          <w:szCs w:val="20"/>
          <w:highlight w:val="yellow"/>
        </w:rPr>
        <w:t xml:space="preserve">ne clé USB </w:t>
      </w:r>
      <w:r w:rsidR="00974E52" w:rsidRPr="0068043A">
        <w:rPr>
          <w:rFonts w:ascii="Work Sans" w:hAnsi="Work Sans"/>
          <w:sz w:val="24"/>
          <w:szCs w:val="20"/>
          <w:highlight w:val="yellow"/>
        </w:rPr>
        <w:t>donnée aux</w:t>
      </w:r>
      <w:r w:rsidR="009C3C3A" w:rsidRPr="0068043A">
        <w:rPr>
          <w:rFonts w:ascii="Work Sans" w:hAnsi="Work Sans"/>
          <w:sz w:val="24"/>
          <w:szCs w:val="20"/>
          <w:highlight w:val="yellow"/>
        </w:rPr>
        <w:t xml:space="preserve"> personnels</w:t>
      </w:r>
      <w:r w:rsidR="00087B53" w:rsidRPr="0068043A">
        <w:rPr>
          <w:rFonts w:ascii="Work Sans" w:hAnsi="Work Sans"/>
          <w:sz w:val="24"/>
          <w:szCs w:val="20"/>
          <w:highlight w:val="yellow"/>
        </w:rPr>
        <w:t xml:space="preserve"> physiquement</w:t>
      </w:r>
      <w:r w:rsidR="009C3C3A" w:rsidRPr="0068043A">
        <w:rPr>
          <w:rFonts w:ascii="Work Sans" w:hAnsi="Work Sans"/>
          <w:sz w:val="24"/>
          <w:szCs w:val="20"/>
          <w:highlight w:val="yellow"/>
        </w:rPr>
        <w:t xml:space="preserve"> présents à la journée d’accueil ; cependant le volet recherche n’est pas ou peu abordé.</w:t>
      </w:r>
    </w:p>
    <w:p w:rsidR="009C3C3A" w:rsidRDefault="009C3C3A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8632C4" w:rsidRDefault="008632C4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301283" w:rsidRPr="00FB7154">
        <w:rPr>
          <w:rFonts w:ascii="Work Sans" w:hAnsi="Work Sans"/>
          <w:sz w:val="24"/>
          <w:szCs w:val="20"/>
          <w:highlight w:val="yellow"/>
        </w:rPr>
        <w:t>en plus du règlement intérieur de l’UT, existent un certain nombre de règlements intérieurs de laboratoires</w:t>
      </w:r>
      <w:r w:rsidR="00E560BF" w:rsidRPr="00FB7154">
        <w:rPr>
          <w:rFonts w:ascii="Work Sans" w:hAnsi="Work Sans"/>
          <w:sz w:val="24"/>
          <w:szCs w:val="20"/>
          <w:highlight w:val="yellow"/>
        </w:rPr>
        <w:t xml:space="preserve"> fixant le cadre d’exercice des personnels rattachés</w:t>
      </w:r>
      <w:r w:rsidR="00301283" w:rsidRPr="00FB7154">
        <w:rPr>
          <w:rFonts w:ascii="Work Sans" w:hAnsi="Work Sans"/>
          <w:sz w:val="24"/>
          <w:szCs w:val="20"/>
          <w:highlight w:val="yellow"/>
        </w:rPr>
        <w:t>, mais pas toujours signés par les</w:t>
      </w:r>
      <w:r w:rsidR="00E560BF" w:rsidRPr="00FB7154">
        <w:rPr>
          <w:rFonts w:ascii="Work Sans" w:hAnsi="Work Sans"/>
          <w:sz w:val="24"/>
          <w:szCs w:val="20"/>
          <w:highlight w:val="yellow"/>
        </w:rPr>
        <w:t>dits</w:t>
      </w:r>
      <w:r w:rsidR="00301283" w:rsidRPr="00FB7154">
        <w:rPr>
          <w:rFonts w:ascii="Work Sans" w:hAnsi="Work Sans"/>
          <w:sz w:val="24"/>
          <w:szCs w:val="20"/>
          <w:highlight w:val="yellow"/>
        </w:rPr>
        <w:t xml:space="preserve"> personnels.</w:t>
      </w:r>
    </w:p>
    <w:p w:rsidR="0013033D" w:rsidRDefault="0013033D" w:rsidP="00752B3F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13033D" w:rsidRDefault="0013033D" w:rsidP="0013033D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9741C3" w:rsidRPr="00FB7154">
        <w:rPr>
          <w:rFonts w:ascii="Work Sans" w:hAnsi="Work Sans"/>
          <w:sz w:val="24"/>
          <w:szCs w:val="20"/>
          <w:highlight w:val="yellow"/>
        </w:rPr>
        <w:t xml:space="preserve">une réunion d’information collective des nouveaux projets est organisée annuellement, ainsi qu’une réunion de « lancement » par projet afin d’informer au mieux toutes </w:t>
      </w:r>
      <w:r w:rsidR="00C850E9" w:rsidRPr="00FB7154">
        <w:rPr>
          <w:rFonts w:ascii="Work Sans" w:hAnsi="Work Sans"/>
          <w:sz w:val="24"/>
          <w:szCs w:val="20"/>
          <w:highlight w:val="yellow"/>
        </w:rPr>
        <w:t xml:space="preserve">les </w:t>
      </w:r>
      <w:r w:rsidR="009741C3" w:rsidRPr="00FB7154">
        <w:rPr>
          <w:rFonts w:ascii="Work Sans" w:hAnsi="Work Sans"/>
          <w:sz w:val="24"/>
          <w:szCs w:val="20"/>
          <w:highlight w:val="yellow"/>
        </w:rPr>
        <w:t>personnes impliquées ; à noter également en parallèle, la mise en place de fiches de vigilance.</w:t>
      </w:r>
    </w:p>
    <w:p w:rsidR="00B8348C" w:rsidRPr="00F934EC" w:rsidRDefault="00B8348C" w:rsidP="00AB5900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791C4E" w:rsidRPr="000B311D" w:rsidRDefault="000D16CC" w:rsidP="00F92B7C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>
        <w:rPr>
          <w:rFonts w:ascii="Work Sans" w:hAnsi="Work Sans"/>
          <w:b/>
          <w:sz w:val="24"/>
          <w:szCs w:val="20"/>
          <w:u w:val="single"/>
        </w:rPr>
        <w:t>Item 4 - L</w:t>
      </w:r>
      <w:r w:rsidR="005C3793">
        <w:rPr>
          <w:rFonts w:ascii="Work Sans" w:hAnsi="Work Sans"/>
          <w:b/>
          <w:sz w:val="24"/>
          <w:szCs w:val="20"/>
          <w:u w:val="single"/>
        </w:rPr>
        <w:t>es</w:t>
      </w:r>
      <w:r w:rsidR="0071771F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>écart</w:t>
      </w:r>
      <w:r w:rsidR="00B87D52" w:rsidRPr="000B311D">
        <w:rPr>
          <w:rFonts w:ascii="Work Sans" w:hAnsi="Work Sans"/>
          <w:b/>
          <w:sz w:val="24"/>
          <w:szCs w:val="20"/>
          <w:u w:val="single"/>
        </w:rPr>
        <w:t>s</w:t>
      </w:r>
      <w:r w:rsidR="008721BF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>
        <w:rPr>
          <w:rFonts w:ascii="Work Sans" w:hAnsi="Work Sans"/>
          <w:b/>
          <w:sz w:val="24"/>
          <w:szCs w:val="20"/>
          <w:u w:val="single"/>
        </w:rPr>
        <w:t xml:space="preserve">décelés </w:t>
      </w:r>
      <w:r w:rsidR="005C3793">
        <w:rPr>
          <w:rFonts w:ascii="Work Sans" w:hAnsi="Work Sans"/>
          <w:b/>
          <w:sz w:val="24"/>
          <w:szCs w:val="20"/>
          <w:u w:val="single"/>
        </w:rPr>
        <w:t>e</w:t>
      </w:r>
      <w:r w:rsidR="00AF5FA4" w:rsidRPr="000B311D">
        <w:rPr>
          <w:rFonts w:ascii="Work Sans" w:hAnsi="Work Sans"/>
          <w:b/>
          <w:sz w:val="24"/>
          <w:szCs w:val="20"/>
          <w:u w:val="single"/>
        </w:rPr>
        <w:t>t</w:t>
      </w:r>
      <w:r>
        <w:rPr>
          <w:rFonts w:ascii="Work Sans" w:hAnsi="Work Sans"/>
          <w:b/>
          <w:sz w:val="24"/>
          <w:szCs w:val="20"/>
          <w:u w:val="single"/>
        </w:rPr>
        <w:t xml:space="preserve"> les</w:t>
      </w:r>
      <w:r w:rsidR="00AF5FA4" w:rsidRPr="000B311D">
        <w:rPr>
          <w:rFonts w:ascii="Work Sans" w:hAnsi="Work Sans"/>
          <w:b/>
          <w:sz w:val="24"/>
          <w:szCs w:val="20"/>
          <w:u w:val="single"/>
        </w:rPr>
        <w:t xml:space="preserve"> propositions d’action(s)</w:t>
      </w:r>
      <w:r w:rsidR="00BD68C7" w:rsidRPr="000B311D">
        <w:rPr>
          <w:rFonts w:ascii="Work Sans" w:hAnsi="Work Sans"/>
          <w:b/>
          <w:sz w:val="24"/>
          <w:szCs w:val="20"/>
          <w:u w:val="single"/>
        </w:rPr>
        <w:t xml:space="preserve"> </w:t>
      </w:r>
      <w:r w:rsidR="00791C4E" w:rsidRPr="000B311D">
        <w:rPr>
          <w:rFonts w:ascii="Work Sans" w:hAnsi="Work Sans"/>
          <w:b/>
          <w:sz w:val="24"/>
          <w:szCs w:val="20"/>
          <w:u w:val="single"/>
        </w:rPr>
        <w:t>:</w:t>
      </w:r>
    </w:p>
    <w:p w:rsidR="00C04765" w:rsidRDefault="00C04765" w:rsidP="00F92B7C">
      <w:pPr>
        <w:pStyle w:val="Paragraphedeliste"/>
        <w:spacing w:after="0"/>
        <w:ind w:left="357"/>
        <w:jc w:val="both"/>
        <w:rPr>
          <w:rFonts w:ascii="Work Sans" w:hAnsi="Work Sans"/>
          <w:sz w:val="24"/>
          <w:szCs w:val="20"/>
        </w:rPr>
      </w:pPr>
    </w:p>
    <w:p w:rsidR="009C3C3A" w:rsidRDefault="00C0476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BC1D84">
        <w:rPr>
          <w:rFonts w:ascii="Work Sans" w:hAnsi="Work Sans"/>
          <w:sz w:val="24"/>
          <w:szCs w:val="20"/>
        </w:rPr>
        <w:t>-</w:t>
      </w:r>
      <w:r w:rsidR="00AF5FA4">
        <w:rPr>
          <w:rFonts w:ascii="Work Sans" w:hAnsi="Work Sans"/>
          <w:sz w:val="24"/>
          <w:szCs w:val="20"/>
        </w:rPr>
        <w:t xml:space="preserve"> </w:t>
      </w:r>
      <w:r w:rsidR="0081680D">
        <w:rPr>
          <w:rFonts w:ascii="Work Sans" w:hAnsi="Work Sans"/>
          <w:sz w:val="24"/>
          <w:szCs w:val="20"/>
        </w:rPr>
        <w:t>à destination des</w:t>
      </w:r>
      <w:r w:rsidR="009C3C3A">
        <w:rPr>
          <w:rFonts w:ascii="Work Sans" w:hAnsi="Work Sans"/>
          <w:sz w:val="24"/>
          <w:szCs w:val="20"/>
        </w:rPr>
        <w:t xml:space="preserve"> nouveaux arrivants, compléter les informations et documents généraux </w:t>
      </w:r>
      <w:r w:rsidR="00533F40">
        <w:rPr>
          <w:rFonts w:ascii="Work Sans" w:hAnsi="Work Sans"/>
          <w:sz w:val="24"/>
          <w:szCs w:val="20"/>
        </w:rPr>
        <w:t xml:space="preserve">déjà diffusés </w:t>
      </w:r>
      <w:r w:rsidR="009C3C3A">
        <w:rPr>
          <w:rFonts w:ascii="Work Sans" w:hAnsi="Work Sans"/>
          <w:sz w:val="24"/>
          <w:szCs w:val="20"/>
        </w:rPr>
        <w:t>par un volet recherche plus spécifique.</w:t>
      </w:r>
    </w:p>
    <w:p w:rsidR="009C3C3A" w:rsidRDefault="009C3C3A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9C3C3A" w:rsidRDefault="009C3C3A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301283">
        <w:rPr>
          <w:rFonts w:ascii="Work Sans" w:hAnsi="Work Sans"/>
          <w:sz w:val="24"/>
          <w:szCs w:val="20"/>
        </w:rPr>
        <w:t xml:space="preserve">les règlements intérieurs des laboratoires sont élaborés à partir d’un cadre à minima, mais pas toujours bien connus, diffusés et consultables/accessibles. L’idée serait </w:t>
      </w:r>
      <w:r w:rsidR="00533F40">
        <w:rPr>
          <w:rFonts w:ascii="Work Sans" w:hAnsi="Work Sans"/>
          <w:sz w:val="24"/>
          <w:szCs w:val="20"/>
        </w:rPr>
        <w:t xml:space="preserve">d’abord </w:t>
      </w:r>
      <w:r w:rsidR="00301283">
        <w:rPr>
          <w:rFonts w:ascii="Work Sans" w:hAnsi="Work Sans"/>
          <w:sz w:val="24"/>
          <w:szCs w:val="20"/>
        </w:rPr>
        <w:t>de réussir à tous les obtenir</w:t>
      </w:r>
      <w:r w:rsidR="00533F40">
        <w:rPr>
          <w:rFonts w:ascii="Work Sans" w:hAnsi="Work Sans"/>
          <w:sz w:val="24"/>
          <w:szCs w:val="20"/>
        </w:rPr>
        <w:t xml:space="preserve">, puis </w:t>
      </w:r>
      <w:r w:rsidR="003F1F8E">
        <w:rPr>
          <w:rFonts w:ascii="Work Sans" w:hAnsi="Work Sans"/>
          <w:sz w:val="24"/>
          <w:szCs w:val="20"/>
        </w:rPr>
        <w:t xml:space="preserve">ensuite </w:t>
      </w:r>
      <w:r w:rsidR="00301283">
        <w:rPr>
          <w:rFonts w:ascii="Work Sans" w:hAnsi="Work Sans"/>
          <w:sz w:val="24"/>
          <w:szCs w:val="20"/>
        </w:rPr>
        <w:t>les centraliser</w:t>
      </w:r>
      <w:r w:rsidR="00383CD5">
        <w:rPr>
          <w:rFonts w:ascii="Work Sans" w:hAnsi="Work Sans"/>
          <w:sz w:val="24"/>
          <w:szCs w:val="20"/>
        </w:rPr>
        <w:t xml:space="preserve"> en un point unique</w:t>
      </w:r>
      <w:r w:rsidR="00301283">
        <w:rPr>
          <w:rFonts w:ascii="Work Sans" w:hAnsi="Work Sans"/>
          <w:sz w:val="24"/>
          <w:szCs w:val="20"/>
        </w:rPr>
        <w:t>, facilitant ainsi leur consultation/accès.</w:t>
      </w:r>
    </w:p>
    <w:p w:rsidR="009C3C3A" w:rsidRDefault="009C3C3A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9C3C3A" w:rsidRDefault="004842B5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4842B5">
        <w:rPr>
          <w:rFonts w:ascii="Work Sans" w:hAnsi="Work Sans"/>
          <w:sz w:val="24"/>
          <w:szCs w:val="20"/>
        </w:rPr>
        <w:t xml:space="preserve">- sur la vie </w:t>
      </w:r>
      <w:r w:rsidR="003F1F8E">
        <w:rPr>
          <w:rFonts w:ascii="Work Sans" w:hAnsi="Work Sans"/>
          <w:sz w:val="24"/>
          <w:szCs w:val="20"/>
        </w:rPr>
        <w:t xml:space="preserve">et le fonctionnement </w:t>
      </w:r>
      <w:r w:rsidRPr="004842B5">
        <w:rPr>
          <w:rFonts w:ascii="Work Sans" w:hAnsi="Work Sans"/>
          <w:sz w:val="24"/>
          <w:szCs w:val="20"/>
        </w:rPr>
        <w:t xml:space="preserve">des projets, </w:t>
      </w:r>
      <w:r w:rsidR="00955780">
        <w:rPr>
          <w:rFonts w:ascii="Work Sans" w:hAnsi="Work Sans"/>
          <w:sz w:val="24"/>
          <w:szCs w:val="20"/>
        </w:rPr>
        <w:t>essentiellement</w:t>
      </w:r>
      <w:r w:rsidRPr="004842B5">
        <w:rPr>
          <w:rFonts w:ascii="Work Sans" w:hAnsi="Work Sans"/>
          <w:sz w:val="24"/>
          <w:szCs w:val="20"/>
        </w:rPr>
        <w:t xml:space="preserve"> ceux en lien avec les ED, fai</w:t>
      </w:r>
      <w:r w:rsidR="00974E52">
        <w:rPr>
          <w:rFonts w:ascii="Work Sans" w:hAnsi="Work Sans"/>
          <w:sz w:val="24"/>
          <w:szCs w:val="20"/>
        </w:rPr>
        <w:t xml:space="preserve">re référence à </w:t>
      </w:r>
      <w:r w:rsidRPr="004842B5">
        <w:rPr>
          <w:rFonts w:ascii="Work Sans" w:hAnsi="Work Sans"/>
          <w:sz w:val="24"/>
          <w:szCs w:val="20"/>
        </w:rPr>
        <w:t xml:space="preserve">la charte des thèses </w:t>
      </w:r>
      <w:r>
        <w:rPr>
          <w:rFonts w:ascii="Work Sans" w:hAnsi="Work Sans"/>
          <w:sz w:val="24"/>
          <w:szCs w:val="20"/>
        </w:rPr>
        <w:t xml:space="preserve">en ce qui concerne le </w:t>
      </w:r>
      <w:r w:rsidRPr="004842B5">
        <w:rPr>
          <w:rFonts w:ascii="Work Sans" w:hAnsi="Work Sans"/>
          <w:sz w:val="24"/>
          <w:szCs w:val="20"/>
        </w:rPr>
        <w:t>suivi</w:t>
      </w:r>
      <w:r>
        <w:rPr>
          <w:rFonts w:ascii="Work Sans" w:hAnsi="Work Sans"/>
          <w:sz w:val="24"/>
          <w:szCs w:val="20"/>
        </w:rPr>
        <w:t xml:space="preserve"> et les relations doctorant – directeur </w:t>
      </w:r>
      <w:r w:rsidR="00955780">
        <w:rPr>
          <w:rFonts w:ascii="Work Sans" w:hAnsi="Work Sans"/>
          <w:sz w:val="24"/>
          <w:szCs w:val="20"/>
        </w:rPr>
        <w:t>de thèse.</w:t>
      </w:r>
    </w:p>
    <w:p w:rsidR="00533F40" w:rsidRDefault="00533F40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711B76" w:rsidRDefault="00711B7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076A4D" w:rsidRDefault="00711B76" w:rsidP="00711B7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Work Sans" w:hAnsi="Work Sans"/>
          <w:sz w:val="24"/>
          <w:szCs w:val="20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L’analyse de l’item </w:t>
      </w:r>
      <w:r>
        <w:rPr>
          <w:rFonts w:ascii="Work Sans" w:hAnsi="Work Sans"/>
          <w:b/>
          <w:sz w:val="24"/>
          <w:szCs w:val="20"/>
          <w:u w:val="single"/>
        </w:rPr>
        <w:t xml:space="preserve">5 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– </w:t>
      </w:r>
      <w:r>
        <w:rPr>
          <w:rFonts w:ascii="Work Sans" w:hAnsi="Work Sans"/>
          <w:b/>
          <w:sz w:val="24"/>
          <w:szCs w:val="20"/>
          <w:u w:val="single"/>
        </w:rPr>
        <w:t xml:space="preserve">Obligations contractuelles et légales, </w:t>
      </w:r>
      <w:r w:rsidRPr="000B311D">
        <w:rPr>
          <w:rFonts w:ascii="Work Sans" w:hAnsi="Work Sans"/>
          <w:b/>
          <w:sz w:val="24"/>
          <w:szCs w:val="20"/>
          <w:u w:val="single"/>
        </w:rPr>
        <w:t>dresse les constats suivants :</w:t>
      </w:r>
    </w:p>
    <w:p w:rsidR="009C3C3A" w:rsidRDefault="009C3C3A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711B76" w:rsidRDefault="00D66039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lastRenderedPageBreak/>
        <w:t xml:space="preserve">- </w:t>
      </w:r>
      <w:r w:rsidRPr="00197AC6">
        <w:rPr>
          <w:rFonts w:ascii="Work Sans" w:hAnsi="Work Sans"/>
          <w:sz w:val="24"/>
          <w:szCs w:val="20"/>
          <w:highlight w:val="yellow"/>
        </w:rPr>
        <w:t>requis par le règlement intérieur du laboratoire, les cahiers de laboratoires sont mis en place pour répondre aux obligations contractuelles et légales.</w:t>
      </w:r>
      <w:r>
        <w:rPr>
          <w:rFonts w:ascii="Work Sans" w:hAnsi="Work Sans"/>
          <w:sz w:val="24"/>
          <w:szCs w:val="20"/>
        </w:rPr>
        <w:t xml:space="preserve"> </w:t>
      </w:r>
    </w:p>
    <w:p w:rsidR="00E115BD" w:rsidRDefault="00E115BD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E115BD" w:rsidRDefault="00E115BD" w:rsidP="00E115BD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 w:rsidRPr="00197AC6">
        <w:rPr>
          <w:rFonts w:ascii="Work Sans" w:hAnsi="Work Sans"/>
          <w:sz w:val="24"/>
          <w:szCs w:val="20"/>
          <w:highlight w:val="yellow"/>
        </w:rPr>
        <w:t xml:space="preserve">- </w:t>
      </w:r>
      <w:r w:rsidR="00484E12" w:rsidRPr="00197AC6">
        <w:rPr>
          <w:rFonts w:ascii="Work Sans" w:hAnsi="Work Sans"/>
          <w:sz w:val="24"/>
          <w:szCs w:val="20"/>
          <w:highlight w:val="yellow"/>
        </w:rPr>
        <w:t xml:space="preserve">les EC sont sensibilisés à des degrés très divers </w:t>
      </w:r>
      <w:r w:rsidRPr="00197AC6">
        <w:rPr>
          <w:rFonts w:ascii="Work Sans" w:hAnsi="Work Sans"/>
          <w:sz w:val="24"/>
          <w:szCs w:val="20"/>
          <w:highlight w:val="yellow"/>
        </w:rPr>
        <w:t xml:space="preserve">sur la question de la propriété intellectuelle, </w:t>
      </w:r>
      <w:r w:rsidR="00484E12" w:rsidRPr="00197AC6">
        <w:rPr>
          <w:rFonts w:ascii="Work Sans" w:hAnsi="Work Sans"/>
          <w:sz w:val="24"/>
          <w:szCs w:val="20"/>
          <w:highlight w:val="yellow"/>
        </w:rPr>
        <w:t>et ce malgré l’existence d’un service dédié à l’UT.</w:t>
      </w:r>
    </w:p>
    <w:p w:rsidR="00E115BD" w:rsidRDefault="00E115BD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E115BD" w:rsidRDefault="00E115BD" w:rsidP="00E115BD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3E3258" w:rsidRPr="0058243D">
        <w:rPr>
          <w:rFonts w:ascii="Work Sans" w:hAnsi="Work Sans"/>
          <w:sz w:val="24"/>
          <w:szCs w:val="20"/>
          <w:highlight w:val="yellow"/>
        </w:rPr>
        <w:t xml:space="preserve">en place à l’UT depuis peu, </w:t>
      </w:r>
      <w:r w:rsidRPr="0058243D">
        <w:rPr>
          <w:rFonts w:ascii="Work Sans" w:hAnsi="Work Sans"/>
          <w:sz w:val="24"/>
          <w:szCs w:val="20"/>
          <w:highlight w:val="yellow"/>
        </w:rPr>
        <w:t xml:space="preserve">le logiciel OSCAR centralise l’ensemble des documents et informations pour chaque projet avec flux financiers, tout en alertant sur les jalons, remises de rapport, </w:t>
      </w:r>
      <w:proofErr w:type="spellStart"/>
      <w:r w:rsidRPr="0058243D">
        <w:rPr>
          <w:rFonts w:ascii="Work Sans" w:hAnsi="Work Sans"/>
          <w:sz w:val="24"/>
          <w:szCs w:val="20"/>
          <w:highlight w:val="yellow"/>
        </w:rPr>
        <w:t>etc</w:t>
      </w:r>
      <w:proofErr w:type="spellEnd"/>
      <w:r w:rsidRPr="0058243D">
        <w:rPr>
          <w:rFonts w:ascii="Work Sans" w:hAnsi="Work Sans"/>
          <w:sz w:val="24"/>
          <w:szCs w:val="20"/>
          <w:highlight w:val="yellow"/>
        </w:rPr>
        <w:t xml:space="preserve"> </w:t>
      </w:r>
      <w:proofErr w:type="gramStart"/>
      <w:r w:rsidRPr="0058243D">
        <w:rPr>
          <w:rFonts w:ascii="Work Sans" w:hAnsi="Work Sans"/>
          <w:sz w:val="24"/>
          <w:szCs w:val="20"/>
          <w:highlight w:val="yellow"/>
        </w:rPr>
        <w:t>… .</w:t>
      </w:r>
      <w:proofErr w:type="gramEnd"/>
    </w:p>
    <w:p w:rsidR="00711B76" w:rsidRDefault="00711B7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711B76" w:rsidRPr="000B311D" w:rsidRDefault="00711B76" w:rsidP="00711B76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>
        <w:rPr>
          <w:rFonts w:ascii="Work Sans" w:hAnsi="Work Sans"/>
          <w:b/>
          <w:sz w:val="24"/>
          <w:szCs w:val="20"/>
          <w:u w:val="single"/>
        </w:rPr>
        <w:t>Item 5 - Les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écarts </w:t>
      </w:r>
      <w:r>
        <w:rPr>
          <w:rFonts w:ascii="Work Sans" w:hAnsi="Work Sans"/>
          <w:b/>
          <w:sz w:val="24"/>
          <w:szCs w:val="20"/>
          <w:u w:val="single"/>
        </w:rPr>
        <w:t>décelés e</w:t>
      </w:r>
      <w:r w:rsidRPr="000B311D">
        <w:rPr>
          <w:rFonts w:ascii="Work Sans" w:hAnsi="Work Sans"/>
          <w:b/>
          <w:sz w:val="24"/>
          <w:szCs w:val="20"/>
          <w:u w:val="single"/>
        </w:rPr>
        <w:t>t</w:t>
      </w:r>
      <w:r>
        <w:rPr>
          <w:rFonts w:ascii="Work Sans" w:hAnsi="Work Sans"/>
          <w:b/>
          <w:sz w:val="24"/>
          <w:szCs w:val="20"/>
          <w:u w:val="single"/>
        </w:rPr>
        <w:t xml:space="preserve"> les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propositions d’action(s) :</w:t>
      </w:r>
    </w:p>
    <w:p w:rsidR="00711B76" w:rsidRDefault="00711B7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711B76" w:rsidRDefault="00D66039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5B3845">
        <w:rPr>
          <w:rFonts w:ascii="Work Sans" w:hAnsi="Work Sans"/>
          <w:sz w:val="24"/>
          <w:szCs w:val="20"/>
        </w:rPr>
        <w:t>les cahiers de laboratoires ne sont pas toujours utilisés</w:t>
      </w:r>
      <w:r w:rsidR="00E67ABB">
        <w:rPr>
          <w:rFonts w:ascii="Work Sans" w:hAnsi="Work Sans"/>
          <w:sz w:val="24"/>
          <w:szCs w:val="20"/>
        </w:rPr>
        <w:t xml:space="preserve"> ou alors de manière succincte</w:t>
      </w:r>
      <w:r w:rsidR="005B3845">
        <w:rPr>
          <w:rFonts w:ascii="Work Sans" w:hAnsi="Work Sans"/>
          <w:sz w:val="24"/>
          <w:szCs w:val="20"/>
        </w:rPr>
        <w:t xml:space="preserve">, notamment en SHS. Il faudrait </w:t>
      </w:r>
      <w:r>
        <w:rPr>
          <w:rFonts w:ascii="Work Sans" w:hAnsi="Work Sans"/>
          <w:sz w:val="24"/>
          <w:szCs w:val="20"/>
        </w:rPr>
        <w:t>ré-insister sur l</w:t>
      </w:r>
      <w:r w:rsidR="005B3845">
        <w:rPr>
          <w:rFonts w:ascii="Work Sans" w:hAnsi="Work Sans"/>
          <w:sz w:val="24"/>
          <w:szCs w:val="20"/>
        </w:rPr>
        <w:t xml:space="preserve">eur </w:t>
      </w:r>
      <w:r>
        <w:rPr>
          <w:rFonts w:ascii="Work Sans" w:hAnsi="Work Sans"/>
          <w:sz w:val="24"/>
          <w:szCs w:val="20"/>
        </w:rPr>
        <w:t>importance et l</w:t>
      </w:r>
      <w:r w:rsidR="005B3845">
        <w:rPr>
          <w:rFonts w:ascii="Work Sans" w:hAnsi="Work Sans"/>
          <w:sz w:val="24"/>
          <w:szCs w:val="20"/>
        </w:rPr>
        <w:t>eur</w:t>
      </w:r>
      <w:r>
        <w:rPr>
          <w:rFonts w:ascii="Work Sans" w:hAnsi="Work Sans"/>
          <w:sz w:val="24"/>
          <w:szCs w:val="20"/>
        </w:rPr>
        <w:t xml:space="preserve"> diffusion.</w:t>
      </w:r>
      <w:r w:rsidR="005B3845">
        <w:rPr>
          <w:rFonts w:ascii="Work Sans" w:hAnsi="Work Sans"/>
          <w:sz w:val="24"/>
          <w:szCs w:val="20"/>
        </w:rPr>
        <w:t xml:space="preserve"> P</w:t>
      </w:r>
      <w:r w:rsidR="00E67ABB">
        <w:rPr>
          <w:rFonts w:ascii="Work Sans" w:hAnsi="Work Sans"/>
          <w:sz w:val="24"/>
          <w:szCs w:val="20"/>
        </w:rPr>
        <w:t xml:space="preserve">ar ailleurs, </w:t>
      </w:r>
      <w:r w:rsidR="005B3845">
        <w:rPr>
          <w:rFonts w:ascii="Work Sans" w:hAnsi="Work Sans"/>
          <w:sz w:val="24"/>
          <w:szCs w:val="20"/>
        </w:rPr>
        <w:t>l</w:t>
      </w:r>
      <w:r>
        <w:rPr>
          <w:rFonts w:ascii="Work Sans" w:hAnsi="Work Sans"/>
          <w:sz w:val="24"/>
          <w:szCs w:val="20"/>
        </w:rPr>
        <w:t xml:space="preserve">eur dématérialisation a débuté à l’UT, mais reste à l’inscrire </w:t>
      </w:r>
      <w:r w:rsidR="005B3845">
        <w:rPr>
          <w:rFonts w:ascii="Work Sans" w:hAnsi="Work Sans"/>
          <w:sz w:val="24"/>
          <w:szCs w:val="20"/>
        </w:rPr>
        <w:t xml:space="preserve">plus globalement et officiellement </w:t>
      </w:r>
      <w:r>
        <w:rPr>
          <w:rFonts w:ascii="Work Sans" w:hAnsi="Work Sans"/>
          <w:sz w:val="24"/>
          <w:szCs w:val="20"/>
        </w:rPr>
        <w:t>dans le (futur) PGD.</w:t>
      </w:r>
    </w:p>
    <w:p w:rsidR="00711B76" w:rsidRDefault="00711B7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73D2F" w:rsidRDefault="00C73D2F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les obligations contractuelles et légales sont rappelées lors des réunions de lancement de projet (cf. item 4).</w:t>
      </w:r>
    </w:p>
    <w:p w:rsidR="00484E12" w:rsidRDefault="00484E12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484E12" w:rsidRDefault="00484E12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clarifier les systèmes de prime au brevet et prime d’intéressement, et mieux communiquer sur le sujet </w:t>
      </w:r>
      <w:r w:rsidRPr="00484E12">
        <w:rPr>
          <w:rFonts w:ascii="Work Sans" w:hAnsi="Work Sans"/>
          <w:sz w:val="24"/>
          <w:szCs w:val="20"/>
        </w:rPr>
        <w:sym w:font="Wingdings" w:char="F0E0"/>
      </w:r>
      <w:r>
        <w:rPr>
          <w:rFonts w:ascii="Work Sans" w:hAnsi="Work Sans"/>
          <w:sz w:val="24"/>
          <w:szCs w:val="20"/>
        </w:rPr>
        <w:t xml:space="preserve"> idée d’une formation en laboratoire au plus près des utilisateurs et sur un site/portail dédié aux EC.</w:t>
      </w:r>
    </w:p>
    <w:p w:rsidR="00C73D2F" w:rsidRDefault="00C73D2F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C73D2F" w:rsidRDefault="00C73D2F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E115BD">
        <w:rPr>
          <w:rFonts w:ascii="Work Sans" w:hAnsi="Work Sans"/>
          <w:sz w:val="24"/>
          <w:szCs w:val="20"/>
        </w:rPr>
        <w:t xml:space="preserve">concernant OSCAR, la notification automatique des </w:t>
      </w:r>
      <w:r w:rsidR="0081680D">
        <w:rPr>
          <w:rFonts w:ascii="Work Sans" w:hAnsi="Work Sans"/>
          <w:sz w:val="24"/>
          <w:szCs w:val="20"/>
        </w:rPr>
        <w:t xml:space="preserve">différentes </w:t>
      </w:r>
      <w:r w:rsidR="00E115BD">
        <w:rPr>
          <w:rFonts w:ascii="Work Sans" w:hAnsi="Work Sans"/>
          <w:sz w:val="24"/>
          <w:szCs w:val="20"/>
        </w:rPr>
        <w:t>informations de suivi des projets pourrait être encore améliorée.</w:t>
      </w:r>
    </w:p>
    <w:p w:rsidR="00711B76" w:rsidRDefault="00711B7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711B76" w:rsidRDefault="00711B76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B13A64" w:rsidRPr="000B311D" w:rsidRDefault="00B13A64" w:rsidP="00B13A64">
      <w:pPr>
        <w:pStyle w:val="Paragraphedeliste"/>
        <w:numPr>
          <w:ilvl w:val="0"/>
          <w:numId w:val="2"/>
        </w:numPr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L’analyse de l’item </w:t>
      </w:r>
      <w:r>
        <w:rPr>
          <w:rFonts w:ascii="Work Sans" w:hAnsi="Work Sans"/>
          <w:b/>
          <w:sz w:val="24"/>
          <w:szCs w:val="20"/>
          <w:u w:val="single"/>
        </w:rPr>
        <w:t xml:space="preserve">6 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– </w:t>
      </w:r>
      <w:r>
        <w:rPr>
          <w:rFonts w:ascii="Work Sans" w:hAnsi="Work Sans"/>
          <w:b/>
          <w:sz w:val="24"/>
          <w:szCs w:val="20"/>
          <w:u w:val="single"/>
        </w:rPr>
        <w:t>Responsabilité (retour financier, audits financiers / recherche / éthiques, transparence des données)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, dresse les constats suivants :  </w:t>
      </w:r>
    </w:p>
    <w:p w:rsidR="00B13A64" w:rsidRDefault="00B13A64" w:rsidP="00B13A64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54266E" w:rsidRDefault="0054266E" w:rsidP="00B13A64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  <w:r>
        <w:rPr>
          <w:rFonts w:ascii="Work Sans" w:hAnsi="Work Sans"/>
          <w:color w:val="000000" w:themeColor="text1"/>
          <w:sz w:val="24"/>
          <w:szCs w:val="20"/>
        </w:rPr>
        <w:t>- cf. items 4 et 5 précédents : RI et cahiers des laboratoires, OSCAR, PGD</w:t>
      </w:r>
    </w:p>
    <w:p w:rsidR="0054266E" w:rsidRDefault="0054266E" w:rsidP="00B13A64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B13A64" w:rsidRDefault="00B13A64" w:rsidP="00B13A64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  <w:r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="0054266E">
        <w:rPr>
          <w:rFonts w:ascii="Work Sans" w:hAnsi="Work Sans"/>
          <w:color w:val="000000" w:themeColor="text1"/>
          <w:sz w:val="24"/>
          <w:szCs w:val="20"/>
        </w:rPr>
        <w:t>cf. item 2 pour l’éthique</w:t>
      </w:r>
    </w:p>
    <w:p w:rsidR="0054266E" w:rsidRDefault="0054266E" w:rsidP="00B13A64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B13A64" w:rsidRPr="00F934EC" w:rsidRDefault="00B13A64" w:rsidP="00B13A64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54266E" w:rsidRPr="000B311D" w:rsidRDefault="0054266E" w:rsidP="0054266E">
      <w:pPr>
        <w:pStyle w:val="Paragraphedeliste"/>
        <w:numPr>
          <w:ilvl w:val="0"/>
          <w:numId w:val="2"/>
        </w:numPr>
        <w:jc w:val="both"/>
        <w:rPr>
          <w:rFonts w:ascii="Work Sans" w:hAnsi="Work Sans"/>
          <w:b/>
          <w:sz w:val="24"/>
          <w:szCs w:val="20"/>
          <w:u w:val="single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 xml:space="preserve">L’analyse de l’item </w:t>
      </w:r>
      <w:r>
        <w:rPr>
          <w:rFonts w:ascii="Work Sans" w:hAnsi="Work Sans"/>
          <w:b/>
          <w:sz w:val="24"/>
          <w:szCs w:val="20"/>
          <w:u w:val="single"/>
        </w:rPr>
        <w:t xml:space="preserve">7 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– </w:t>
      </w:r>
      <w:r>
        <w:rPr>
          <w:rFonts w:ascii="Work Sans" w:hAnsi="Work Sans"/>
          <w:b/>
          <w:sz w:val="24"/>
          <w:szCs w:val="20"/>
          <w:u w:val="single"/>
        </w:rPr>
        <w:t>Bonnes pratiques dans le secteur de la recherche (santé et sécurité, protection des données et mesures de confidentialité)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, dresse les constats suivants :  </w:t>
      </w:r>
    </w:p>
    <w:p w:rsidR="0054266E" w:rsidRDefault="0054266E" w:rsidP="0054266E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</w:p>
    <w:p w:rsidR="0054266E" w:rsidRDefault="00EF1993" w:rsidP="0054266E">
      <w:pPr>
        <w:pStyle w:val="Paragraphedeliste"/>
        <w:ind w:left="360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Pr="006D3B1D">
        <w:rPr>
          <w:rFonts w:ascii="Work Sans" w:hAnsi="Work Sans"/>
          <w:color w:val="000000" w:themeColor="text1"/>
          <w:sz w:val="24"/>
          <w:szCs w:val="20"/>
          <w:highlight w:val="yellow"/>
        </w:rPr>
        <w:t>des insuffisances sont constatées concernant la question de la santé/sécurité au travail, notamment dans les laboratoires « techniques » ; par exemple pour la manipulation des produits chimiques ou l’habilitation électrique.</w:t>
      </w:r>
      <w:r w:rsidR="005032C3" w:rsidRPr="006D3B1D">
        <w:rPr>
          <w:rFonts w:ascii="Work Sans" w:hAnsi="Work Sans"/>
          <w:color w:val="000000" w:themeColor="text1"/>
          <w:sz w:val="24"/>
          <w:szCs w:val="20"/>
          <w:highlight w:val="yellow"/>
        </w:rPr>
        <w:t xml:space="preserve"> </w:t>
      </w:r>
      <w:r w:rsidR="005032C3" w:rsidRPr="006D3B1D">
        <w:rPr>
          <w:rFonts w:ascii="Work Sans" w:hAnsi="Work Sans"/>
          <w:sz w:val="24"/>
          <w:szCs w:val="20"/>
          <w:highlight w:val="yellow"/>
        </w:rPr>
        <w:t>Les besoins spécifiques et particuliers, ainsi que le coût généralement élevé, constituent cependant un problème et frein à la mise en place d’un plan de formation classique.</w:t>
      </w:r>
    </w:p>
    <w:p w:rsidR="005032C3" w:rsidRDefault="005032C3" w:rsidP="0054266E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5032C3" w:rsidRDefault="005032C3" w:rsidP="0054266E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  <w:r>
        <w:rPr>
          <w:rFonts w:ascii="Work Sans" w:hAnsi="Work Sans"/>
          <w:color w:val="000000" w:themeColor="text1"/>
          <w:sz w:val="24"/>
          <w:szCs w:val="20"/>
        </w:rPr>
        <w:lastRenderedPageBreak/>
        <w:t xml:space="preserve">- </w:t>
      </w:r>
      <w:r w:rsidR="00737AF3" w:rsidRPr="005F4E36">
        <w:rPr>
          <w:rFonts w:ascii="Work Sans" w:hAnsi="Work Sans"/>
          <w:color w:val="000000" w:themeColor="text1"/>
          <w:sz w:val="24"/>
          <w:szCs w:val="20"/>
          <w:highlight w:val="yellow"/>
        </w:rPr>
        <w:t xml:space="preserve">au sujet de la protection des données, un référent </w:t>
      </w:r>
      <w:r w:rsidR="0010420B" w:rsidRPr="005F4E36">
        <w:rPr>
          <w:rFonts w:ascii="Work Sans" w:hAnsi="Work Sans"/>
          <w:color w:val="000000" w:themeColor="text1"/>
          <w:sz w:val="24"/>
          <w:szCs w:val="20"/>
          <w:highlight w:val="yellow"/>
        </w:rPr>
        <w:t>et responsable SSI (</w:t>
      </w:r>
      <w:r w:rsidR="00737AF3" w:rsidRPr="005F4E36">
        <w:rPr>
          <w:rFonts w:ascii="Work Sans" w:hAnsi="Work Sans"/>
          <w:color w:val="000000" w:themeColor="text1"/>
          <w:sz w:val="24"/>
          <w:szCs w:val="20"/>
          <w:highlight w:val="yellow"/>
        </w:rPr>
        <w:t>sécurité</w:t>
      </w:r>
      <w:r w:rsidR="0010420B" w:rsidRPr="005F4E36">
        <w:rPr>
          <w:rFonts w:ascii="Work Sans" w:hAnsi="Work Sans"/>
          <w:color w:val="000000" w:themeColor="text1"/>
          <w:sz w:val="24"/>
          <w:szCs w:val="20"/>
          <w:highlight w:val="yellow"/>
        </w:rPr>
        <w:t xml:space="preserve"> des systèmes d’information)</w:t>
      </w:r>
      <w:r w:rsidR="00737AF3" w:rsidRPr="005F4E36">
        <w:rPr>
          <w:rFonts w:ascii="Work Sans" w:hAnsi="Work Sans"/>
          <w:color w:val="000000" w:themeColor="text1"/>
          <w:sz w:val="24"/>
          <w:szCs w:val="20"/>
          <w:highlight w:val="yellow"/>
        </w:rPr>
        <w:t xml:space="preserve"> est identifié à la DSI</w:t>
      </w:r>
      <w:r w:rsidR="0010420B" w:rsidRPr="005F4E36">
        <w:rPr>
          <w:rFonts w:ascii="Work Sans" w:hAnsi="Work Sans"/>
          <w:color w:val="000000" w:themeColor="text1"/>
          <w:sz w:val="24"/>
          <w:szCs w:val="20"/>
          <w:highlight w:val="yellow"/>
        </w:rPr>
        <w:t>. Par ailleurs, une conférence spécifique est organisée annuellement sur l’ensemble des sites de l’UT et animée par la DGSI.</w:t>
      </w:r>
    </w:p>
    <w:p w:rsidR="0010420B" w:rsidRDefault="0010420B" w:rsidP="0054266E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10420B" w:rsidRDefault="0010420B" w:rsidP="0010420B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color w:val="000000" w:themeColor="text1"/>
          <w:sz w:val="24"/>
          <w:szCs w:val="20"/>
        </w:rPr>
        <w:t xml:space="preserve">- </w:t>
      </w:r>
      <w:r w:rsidRPr="0081486D">
        <w:rPr>
          <w:rFonts w:ascii="Work Sans" w:hAnsi="Work Sans"/>
          <w:sz w:val="24"/>
          <w:szCs w:val="20"/>
          <w:highlight w:val="yellow"/>
        </w:rPr>
        <w:t xml:space="preserve">pour les laboratoires ZRR (zone à régime restrictif), se pose la difficulté de la circulation entrante et sortante des matériels et supports informatiques comportant des données sensibles. </w:t>
      </w:r>
      <w:r w:rsidR="00484474" w:rsidRPr="0081486D">
        <w:rPr>
          <w:rFonts w:ascii="Work Sans" w:hAnsi="Work Sans"/>
          <w:sz w:val="24"/>
          <w:szCs w:val="20"/>
          <w:highlight w:val="yellow"/>
        </w:rPr>
        <w:t xml:space="preserve">Pour ce faire, </w:t>
      </w:r>
      <w:r w:rsidRPr="0081486D">
        <w:rPr>
          <w:rFonts w:ascii="Work Sans" w:hAnsi="Work Sans"/>
          <w:sz w:val="24"/>
          <w:szCs w:val="20"/>
          <w:highlight w:val="yellow"/>
        </w:rPr>
        <w:t xml:space="preserve">la DSI propose le prêt de matériels sécurisés et adaptés </w:t>
      </w:r>
      <w:r w:rsidR="00484474" w:rsidRPr="0081486D">
        <w:rPr>
          <w:rFonts w:ascii="Work Sans" w:hAnsi="Work Sans"/>
          <w:sz w:val="24"/>
          <w:szCs w:val="20"/>
          <w:highlight w:val="yellow"/>
        </w:rPr>
        <w:t>lors de voyages/déplacements : mais est-ce bien connu ?</w:t>
      </w:r>
      <w:bookmarkStart w:id="0" w:name="_GoBack"/>
      <w:bookmarkEnd w:id="0"/>
    </w:p>
    <w:p w:rsidR="00EF1993" w:rsidRPr="00F934EC" w:rsidRDefault="00EF1993" w:rsidP="0054266E">
      <w:pPr>
        <w:pStyle w:val="Paragraphedeliste"/>
        <w:ind w:left="360"/>
        <w:jc w:val="both"/>
        <w:rPr>
          <w:rFonts w:ascii="Work Sans" w:hAnsi="Work Sans"/>
          <w:color w:val="000000" w:themeColor="text1"/>
          <w:sz w:val="24"/>
          <w:szCs w:val="20"/>
        </w:rPr>
      </w:pPr>
    </w:p>
    <w:p w:rsidR="0054266E" w:rsidRPr="000B311D" w:rsidRDefault="0054266E" w:rsidP="0054266E">
      <w:pPr>
        <w:pStyle w:val="Paragraphedeliste"/>
        <w:numPr>
          <w:ilvl w:val="0"/>
          <w:numId w:val="1"/>
        </w:numPr>
        <w:spacing w:after="0"/>
        <w:ind w:left="357"/>
        <w:jc w:val="both"/>
        <w:rPr>
          <w:rFonts w:ascii="Work Sans" w:hAnsi="Work Sans"/>
          <w:b/>
          <w:sz w:val="24"/>
          <w:szCs w:val="20"/>
          <w:u w:val="single"/>
        </w:rPr>
      </w:pPr>
      <w:r>
        <w:rPr>
          <w:rFonts w:ascii="Work Sans" w:hAnsi="Work Sans"/>
          <w:b/>
          <w:sz w:val="24"/>
          <w:szCs w:val="20"/>
          <w:u w:val="single"/>
        </w:rPr>
        <w:t>Item 7 - Les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écarts </w:t>
      </w:r>
      <w:r>
        <w:rPr>
          <w:rFonts w:ascii="Work Sans" w:hAnsi="Work Sans"/>
          <w:b/>
          <w:sz w:val="24"/>
          <w:szCs w:val="20"/>
          <w:u w:val="single"/>
        </w:rPr>
        <w:t>décelés e</w:t>
      </w:r>
      <w:r w:rsidRPr="000B311D">
        <w:rPr>
          <w:rFonts w:ascii="Work Sans" w:hAnsi="Work Sans"/>
          <w:b/>
          <w:sz w:val="24"/>
          <w:szCs w:val="20"/>
          <w:u w:val="single"/>
        </w:rPr>
        <w:t>t</w:t>
      </w:r>
      <w:r>
        <w:rPr>
          <w:rFonts w:ascii="Work Sans" w:hAnsi="Work Sans"/>
          <w:b/>
          <w:sz w:val="24"/>
          <w:szCs w:val="20"/>
          <w:u w:val="single"/>
        </w:rPr>
        <w:t xml:space="preserve"> les</w:t>
      </w:r>
      <w:r w:rsidRPr="000B311D">
        <w:rPr>
          <w:rFonts w:ascii="Work Sans" w:hAnsi="Work Sans"/>
          <w:b/>
          <w:sz w:val="24"/>
          <w:szCs w:val="20"/>
          <w:u w:val="single"/>
        </w:rPr>
        <w:t xml:space="preserve"> propositions d’action(s) :</w:t>
      </w:r>
    </w:p>
    <w:p w:rsidR="00B13A64" w:rsidRDefault="00B13A64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54266E" w:rsidRDefault="00EF1993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>- travailler avec le PEP’S et les conseillers de prévention pour développer les formations « santé / sécurité » dans les laboratoires</w:t>
      </w:r>
      <w:r w:rsidR="005032C3">
        <w:rPr>
          <w:rFonts w:ascii="Work Sans" w:hAnsi="Work Sans"/>
          <w:sz w:val="24"/>
          <w:szCs w:val="20"/>
        </w:rPr>
        <w:t>. Dans un second temps, et idéalement, envisager ces formations en langue anglaise.</w:t>
      </w:r>
    </w:p>
    <w:p w:rsidR="00174321" w:rsidRDefault="00174321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174321" w:rsidRDefault="00174321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</w:t>
      </w:r>
      <w:r w:rsidR="00493A07">
        <w:rPr>
          <w:rFonts w:ascii="Work Sans" w:hAnsi="Work Sans"/>
          <w:sz w:val="24"/>
          <w:szCs w:val="20"/>
        </w:rPr>
        <w:t xml:space="preserve">rappeler/rajouter des informations liées à la sécurité informatique sur l’autorisation de déplacement </w:t>
      </w:r>
      <w:r w:rsidR="00C8270B">
        <w:rPr>
          <w:rFonts w:ascii="Work Sans" w:hAnsi="Work Sans"/>
          <w:sz w:val="24"/>
          <w:szCs w:val="20"/>
        </w:rPr>
        <w:t>normalement obligatoire.</w:t>
      </w:r>
    </w:p>
    <w:p w:rsidR="0054266E" w:rsidRDefault="0054266E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10420B" w:rsidRDefault="0010420B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  <w:r>
        <w:rPr>
          <w:rFonts w:ascii="Work Sans" w:hAnsi="Work Sans"/>
          <w:sz w:val="24"/>
          <w:szCs w:val="20"/>
        </w:rPr>
        <w:t xml:space="preserve">- même si l’UT applique une démarche générale RGPD, elle n’a pas nommé de DPO (Digital Protection </w:t>
      </w:r>
      <w:proofErr w:type="spellStart"/>
      <w:r>
        <w:rPr>
          <w:rFonts w:ascii="Work Sans" w:hAnsi="Work Sans"/>
          <w:sz w:val="24"/>
          <w:szCs w:val="20"/>
        </w:rPr>
        <w:t>Officer</w:t>
      </w:r>
      <w:proofErr w:type="spellEnd"/>
      <w:r>
        <w:rPr>
          <w:rFonts w:ascii="Work Sans" w:hAnsi="Work Sans"/>
          <w:sz w:val="24"/>
          <w:szCs w:val="20"/>
        </w:rPr>
        <w:t xml:space="preserve">) à ce jour </w:t>
      </w:r>
      <w:r w:rsidRPr="0010420B">
        <w:rPr>
          <w:rFonts w:ascii="Work Sans" w:hAnsi="Work Sans"/>
          <w:sz w:val="24"/>
          <w:szCs w:val="20"/>
        </w:rPr>
        <w:sym w:font="Wingdings" w:char="F0E0"/>
      </w:r>
      <w:r>
        <w:rPr>
          <w:rFonts w:ascii="Work Sans" w:hAnsi="Work Sans"/>
          <w:sz w:val="24"/>
          <w:szCs w:val="20"/>
        </w:rPr>
        <w:t xml:space="preserve"> prévoir un poste/support pour cette fonction indispensable.</w:t>
      </w:r>
    </w:p>
    <w:p w:rsidR="0054266E" w:rsidRDefault="0054266E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54266E" w:rsidRDefault="0054266E" w:rsidP="00F92B7C">
      <w:pPr>
        <w:pStyle w:val="Paragraphedeliste"/>
        <w:spacing w:after="0" w:line="240" w:lineRule="auto"/>
        <w:ind w:left="357"/>
        <w:jc w:val="both"/>
        <w:rPr>
          <w:rFonts w:ascii="Work Sans" w:hAnsi="Work Sans"/>
          <w:sz w:val="24"/>
          <w:szCs w:val="20"/>
        </w:rPr>
      </w:pPr>
    </w:p>
    <w:p w:rsidR="0078679B" w:rsidRPr="00FE314B" w:rsidRDefault="00FE314B" w:rsidP="003611AE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Work Sans" w:hAnsi="Work Sans"/>
          <w:sz w:val="24"/>
          <w:szCs w:val="20"/>
        </w:rPr>
      </w:pPr>
      <w:r w:rsidRPr="000B311D">
        <w:rPr>
          <w:rFonts w:ascii="Work Sans" w:hAnsi="Work Sans"/>
          <w:b/>
          <w:sz w:val="24"/>
          <w:szCs w:val="20"/>
          <w:u w:val="single"/>
        </w:rPr>
        <w:t>Fin de réunion et suite :</w:t>
      </w:r>
      <w:r w:rsidRPr="00FE314B">
        <w:rPr>
          <w:rFonts w:ascii="Work Sans" w:hAnsi="Work Sans"/>
          <w:b/>
          <w:sz w:val="24"/>
          <w:szCs w:val="20"/>
        </w:rPr>
        <w:t xml:space="preserve"> </w:t>
      </w:r>
      <w:proofErr w:type="spellStart"/>
      <w:r w:rsidR="008A37E1" w:rsidRPr="00FE314B">
        <w:rPr>
          <w:rFonts w:ascii="Work Sans" w:hAnsi="Work Sans"/>
          <w:sz w:val="24"/>
          <w:szCs w:val="20"/>
        </w:rPr>
        <w:t>Evento</w:t>
      </w:r>
      <w:proofErr w:type="spellEnd"/>
      <w:r w:rsidR="008A37E1" w:rsidRPr="00FE314B">
        <w:rPr>
          <w:rFonts w:ascii="Work Sans" w:hAnsi="Work Sans"/>
          <w:sz w:val="24"/>
          <w:szCs w:val="20"/>
        </w:rPr>
        <w:t xml:space="preserve"> </w:t>
      </w:r>
      <w:r w:rsidR="005C3793">
        <w:rPr>
          <w:rFonts w:ascii="Work Sans" w:hAnsi="Work Sans"/>
          <w:sz w:val="24"/>
          <w:szCs w:val="20"/>
        </w:rPr>
        <w:t>à lancer</w:t>
      </w:r>
      <w:r w:rsidR="000D16CC">
        <w:rPr>
          <w:rFonts w:ascii="Work Sans" w:hAnsi="Work Sans"/>
          <w:sz w:val="24"/>
          <w:szCs w:val="20"/>
        </w:rPr>
        <w:t xml:space="preserve"> afin d’organiser la troisième et dernière</w:t>
      </w:r>
      <w:r w:rsidR="008A37E1" w:rsidRPr="00FE314B">
        <w:rPr>
          <w:rFonts w:ascii="Work Sans" w:hAnsi="Work Sans"/>
          <w:sz w:val="24"/>
          <w:szCs w:val="20"/>
        </w:rPr>
        <w:t xml:space="preserve"> réunion</w:t>
      </w:r>
      <w:r w:rsidR="005C3793">
        <w:rPr>
          <w:rFonts w:ascii="Work Sans" w:hAnsi="Work Sans"/>
          <w:sz w:val="24"/>
          <w:szCs w:val="20"/>
        </w:rPr>
        <w:t xml:space="preserve">, </w:t>
      </w:r>
      <w:r w:rsidR="000D16CC">
        <w:rPr>
          <w:rFonts w:ascii="Work Sans" w:hAnsi="Work Sans"/>
          <w:sz w:val="24"/>
          <w:szCs w:val="20"/>
        </w:rPr>
        <w:t>dans l’idéal avant la fin d’année</w:t>
      </w:r>
      <w:r w:rsidR="008A37E1" w:rsidRPr="00FE314B">
        <w:rPr>
          <w:rFonts w:ascii="Work Sans" w:hAnsi="Work Sans"/>
          <w:sz w:val="24"/>
          <w:szCs w:val="20"/>
        </w:rPr>
        <w:t>.</w:t>
      </w:r>
    </w:p>
    <w:sectPr w:rsidR="0078679B" w:rsidRPr="00FE314B" w:rsidSect="007471DF">
      <w:pgSz w:w="11906" w:h="16838"/>
      <w:pgMar w:top="102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altName w:val="Arial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7568"/>
    <w:multiLevelType w:val="hybridMultilevel"/>
    <w:tmpl w:val="9C6A3F1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3646F4"/>
    <w:multiLevelType w:val="hybridMultilevel"/>
    <w:tmpl w:val="615216C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7A5A35"/>
    <w:multiLevelType w:val="hybridMultilevel"/>
    <w:tmpl w:val="E878007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27C7D"/>
    <w:multiLevelType w:val="hybridMultilevel"/>
    <w:tmpl w:val="27C4E1A2"/>
    <w:lvl w:ilvl="0" w:tplc="FD7E6FB0">
      <w:numFmt w:val="bullet"/>
      <w:lvlText w:val="-"/>
      <w:lvlJc w:val="left"/>
      <w:pPr>
        <w:ind w:left="92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37055D"/>
    <w:multiLevelType w:val="hybridMultilevel"/>
    <w:tmpl w:val="8BCC8B34"/>
    <w:lvl w:ilvl="0" w:tplc="A7D40FCC">
      <w:start w:val="2"/>
      <w:numFmt w:val="bullet"/>
      <w:lvlText w:val="-"/>
      <w:lvlJc w:val="left"/>
      <w:pPr>
        <w:ind w:left="777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5D1E119E"/>
    <w:multiLevelType w:val="hybridMultilevel"/>
    <w:tmpl w:val="2DA0C356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7744DB4C">
      <w:numFmt w:val="bullet"/>
      <w:lvlText w:val="-"/>
      <w:lvlJc w:val="left"/>
      <w:pPr>
        <w:ind w:left="2007" w:hanging="360"/>
      </w:pPr>
      <w:rPr>
        <w:rFonts w:ascii="Work Sans" w:eastAsiaTheme="minorHAnsi" w:hAnsi="Work San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0C355ED"/>
    <w:multiLevelType w:val="hybridMultilevel"/>
    <w:tmpl w:val="7052990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ED7B82"/>
    <w:multiLevelType w:val="hybridMultilevel"/>
    <w:tmpl w:val="AE9C1C32"/>
    <w:lvl w:ilvl="0" w:tplc="024EBEFE">
      <w:start w:val="2"/>
      <w:numFmt w:val="bullet"/>
      <w:lvlText w:val="-"/>
      <w:lvlJc w:val="left"/>
      <w:pPr>
        <w:ind w:left="720" w:hanging="360"/>
      </w:pPr>
      <w:rPr>
        <w:rFonts w:ascii="Work Sans" w:eastAsiaTheme="minorHAnsi" w:hAnsi="Work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96B82"/>
    <w:multiLevelType w:val="hybridMultilevel"/>
    <w:tmpl w:val="3D4035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C5"/>
    <w:rsid w:val="000131E3"/>
    <w:rsid w:val="00014660"/>
    <w:rsid w:val="00027CFB"/>
    <w:rsid w:val="00034488"/>
    <w:rsid w:val="00076A4D"/>
    <w:rsid w:val="00080541"/>
    <w:rsid w:val="00087B53"/>
    <w:rsid w:val="000B2B6B"/>
    <w:rsid w:val="000B311D"/>
    <w:rsid w:val="000C2EAE"/>
    <w:rsid w:val="000D16CC"/>
    <w:rsid w:val="000D2FF7"/>
    <w:rsid w:val="000D67FF"/>
    <w:rsid w:val="00100414"/>
    <w:rsid w:val="0010073A"/>
    <w:rsid w:val="0010420B"/>
    <w:rsid w:val="001042D7"/>
    <w:rsid w:val="00107580"/>
    <w:rsid w:val="001134F6"/>
    <w:rsid w:val="0013033D"/>
    <w:rsid w:val="001464A6"/>
    <w:rsid w:val="00174321"/>
    <w:rsid w:val="001811D6"/>
    <w:rsid w:val="0019552A"/>
    <w:rsid w:val="00197AC6"/>
    <w:rsid w:val="001A5E08"/>
    <w:rsid w:val="001A7622"/>
    <w:rsid w:val="001B71AF"/>
    <w:rsid w:val="001D735F"/>
    <w:rsid w:val="00206805"/>
    <w:rsid w:val="00226C9A"/>
    <w:rsid w:val="00247902"/>
    <w:rsid w:val="002503DA"/>
    <w:rsid w:val="002553FC"/>
    <w:rsid w:val="002750A4"/>
    <w:rsid w:val="002B14B4"/>
    <w:rsid w:val="002B26C6"/>
    <w:rsid w:val="002D20FF"/>
    <w:rsid w:val="002E342A"/>
    <w:rsid w:val="00300D48"/>
    <w:rsid w:val="00301283"/>
    <w:rsid w:val="00305B9F"/>
    <w:rsid w:val="00331A6D"/>
    <w:rsid w:val="00341153"/>
    <w:rsid w:val="0035603B"/>
    <w:rsid w:val="003664AF"/>
    <w:rsid w:val="003835C2"/>
    <w:rsid w:val="00383CD5"/>
    <w:rsid w:val="003A1B95"/>
    <w:rsid w:val="003B0CC6"/>
    <w:rsid w:val="003C7E44"/>
    <w:rsid w:val="003E3258"/>
    <w:rsid w:val="003F1F8E"/>
    <w:rsid w:val="003F48DC"/>
    <w:rsid w:val="003F5195"/>
    <w:rsid w:val="0040314D"/>
    <w:rsid w:val="00412032"/>
    <w:rsid w:val="00417A22"/>
    <w:rsid w:val="0042432A"/>
    <w:rsid w:val="0045645A"/>
    <w:rsid w:val="004842B5"/>
    <w:rsid w:val="00484474"/>
    <w:rsid w:val="00484E12"/>
    <w:rsid w:val="00493A07"/>
    <w:rsid w:val="004B297B"/>
    <w:rsid w:val="004E5D7D"/>
    <w:rsid w:val="004F379B"/>
    <w:rsid w:val="005032C3"/>
    <w:rsid w:val="00506978"/>
    <w:rsid w:val="00533F40"/>
    <w:rsid w:val="0054266E"/>
    <w:rsid w:val="0058243D"/>
    <w:rsid w:val="00584DF1"/>
    <w:rsid w:val="005958E3"/>
    <w:rsid w:val="005A0F03"/>
    <w:rsid w:val="005B3845"/>
    <w:rsid w:val="005B5C81"/>
    <w:rsid w:val="005C3793"/>
    <w:rsid w:val="005D5DB6"/>
    <w:rsid w:val="005F4E36"/>
    <w:rsid w:val="0063407E"/>
    <w:rsid w:val="00662061"/>
    <w:rsid w:val="006766C2"/>
    <w:rsid w:val="0068043A"/>
    <w:rsid w:val="006D320F"/>
    <w:rsid w:val="006D3B1D"/>
    <w:rsid w:val="006D5DDF"/>
    <w:rsid w:val="006E598A"/>
    <w:rsid w:val="006E6E08"/>
    <w:rsid w:val="00711B76"/>
    <w:rsid w:val="00713DA5"/>
    <w:rsid w:val="0071771F"/>
    <w:rsid w:val="00727565"/>
    <w:rsid w:val="007346AF"/>
    <w:rsid w:val="00737AF3"/>
    <w:rsid w:val="007471DF"/>
    <w:rsid w:val="00752B3F"/>
    <w:rsid w:val="00757138"/>
    <w:rsid w:val="007600AF"/>
    <w:rsid w:val="00764BD4"/>
    <w:rsid w:val="0078679B"/>
    <w:rsid w:val="00786DFF"/>
    <w:rsid w:val="00791C4E"/>
    <w:rsid w:val="00792162"/>
    <w:rsid w:val="00792D52"/>
    <w:rsid w:val="007A5D00"/>
    <w:rsid w:val="007C4CDF"/>
    <w:rsid w:val="007D73B9"/>
    <w:rsid w:val="007E6D6E"/>
    <w:rsid w:val="00807DB6"/>
    <w:rsid w:val="00807DCA"/>
    <w:rsid w:val="0081486D"/>
    <w:rsid w:val="0081680D"/>
    <w:rsid w:val="008172C2"/>
    <w:rsid w:val="00830F6C"/>
    <w:rsid w:val="008632C4"/>
    <w:rsid w:val="008721BF"/>
    <w:rsid w:val="00874043"/>
    <w:rsid w:val="008741F9"/>
    <w:rsid w:val="008755F9"/>
    <w:rsid w:val="0089443E"/>
    <w:rsid w:val="008A37E1"/>
    <w:rsid w:val="008A6667"/>
    <w:rsid w:val="008C35B2"/>
    <w:rsid w:val="00917C0D"/>
    <w:rsid w:val="009217D8"/>
    <w:rsid w:val="00937B9D"/>
    <w:rsid w:val="009520CD"/>
    <w:rsid w:val="009528C0"/>
    <w:rsid w:val="00955780"/>
    <w:rsid w:val="00967451"/>
    <w:rsid w:val="009741C3"/>
    <w:rsid w:val="00974E52"/>
    <w:rsid w:val="00994E63"/>
    <w:rsid w:val="009B0347"/>
    <w:rsid w:val="009C3C3A"/>
    <w:rsid w:val="009D5E84"/>
    <w:rsid w:val="009E479D"/>
    <w:rsid w:val="00A7345A"/>
    <w:rsid w:val="00A80957"/>
    <w:rsid w:val="00A815F1"/>
    <w:rsid w:val="00A81A16"/>
    <w:rsid w:val="00A8258C"/>
    <w:rsid w:val="00A82ADE"/>
    <w:rsid w:val="00A94031"/>
    <w:rsid w:val="00AB34FB"/>
    <w:rsid w:val="00AB5900"/>
    <w:rsid w:val="00AD134F"/>
    <w:rsid w:val="00AD6810"/>
    <w:rsid w:val="00AD695A"/>
    <w:rsid w:val="00AE6313"/>
    <w:rsid w:val="00AF5FA4"/>
    <w:rsid w:val="00B13A64"/>
    <w:rsid w:val="00B16EA6"/>
    <w:rsid w:val="00B25BC0"/>
    <w:rsid w:val="00B27154"/>
    <w:rsid w:val="00B52915"/>
    <w:rsid w:val="00B8348C"/>
    <w:rsid w:val="00B87D52"/>
    <w:rsid w:val="00B91A56"/>
    <w:rsid w:val="00BA7EFC"/>
    <w:rsid w:val="00BB35FA"/>
    <w:rsid w:val="00BB450B"/>
    <w:rsid w:val="00BC1D84"/>
    <w:rsid w:val="00BD68C7"/>
    <w:rsid w:val="00BF2AF4"/>
    <w:rsid w:val="00BF4950"/>
    <w:rsid w:val="00C04765"/>
    <w:rsid w:val="00C0585C"/>
    <w:rsid w:val="00C06BAC"/>
    <w:rsid w:val="00C17135"/>
    <w:rsid w:val="00C31FD4"/>
    <w:rsid w:val="00C3749A"/>
    <w:rsid w:val="00C55D61"/>
    <w:rsid w:val="00C73D2F"/>
    <w:rsid w:val="00C8270B"/>
    <w:rsid w:val="00C850E9"/>
    <w:rsid w:val="00C97FF0"/>
    <w:rsid w:val="00CA67C8"/>
    <w:rsid w:val="00CB39D6"/>
    <w:rsid w:val="00CC79D6"/>
    <w:rsid w:val="00CE2658"/>
    <w:rsid w:val="00D23207"/>
    <w:rsid w:val="00D31344"/>
    <w:rsid w:val="00D50371"/>
    <w:rsid w:val="00D66039"/>
    <w:rsid w:val="00D7305C"/>
    <w:rsid w:val="00D87F36"/>
    <w:rsid w:val="00D946BA"/>
    <w:rsid w:val="00DA362B"/>
    <w:rsid w:val="00DB53DA"/>
    <w:rsid w:val="00DF0E63"/>
    <w:rsid w:val="00DF4104"/>
    <w:rsid w:val="00E00FC5"/>
    <w:rsid w:val="00E115BD"/>
    <w:rsid w:val="00E1656C"/>
    <w:rsid w:val="00E27EB0"/>
    <w:rsid w:val="00E333EC"/>
    <w:rsid w:val="00E43E27"/>
    <w:rsid w:val="00E560BF"/>
    <w:rsid w:val="00E57349"/>
    <w:rsid w:val="00E6554F"/>
    <w:rsid w:val="00E66557"/>
    <w:rsid w:val="00E67ABB"/>
    <w:rsid w:val="00E85CC2"/>
    <w:rsid w:val="00E932CB"/>
    <w:rsid w:val="00E94646"/>
    <w:rsid w:val="00E96515"/>
    <w:rsid w:val="00EA1AF1"/>
    <w:rsid w:val="00EA2656"/>
    <w:rsid w:val="00EA45ED"/>
    <w:rsid w:val="00EA477A"/>
    <w:rsid w:val="00EA63A6"/>
    <w:rsid w:val="00EC1AC8"/>
    <w:rsid w:val="00EC3805"/>
    <w:rsid w:val="00EC7E12"/>
    <w:rsid w:val="00ED59E4"/>
    <w:rsid w:val="00EE3897"/>
    <w:rsid w:val="00EE57B2"/>
    <w:rsid w:val="00EF15D1"/>
    <w:rsid w:val="00EF1993"/>
    <w:rsid w:val="00F02EC6"/>
    <w:rsid w:val="00F03CFD"/>
    <w:rsid w:val="00F42088"/>
    <w:rsid w:val="00F92B7C"/>
    <w:rsid w:val="00F934EC"/>
    <w:rsid w:val="00FA2BE2"/>
    <w:rsid w:val="00FB5369"/>
    <w:rsid w:val="00FB7154"/>
    <w:rsid w:val="00FD2B6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37210-C454-4B7E-AB3A-9A68DEA9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14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1C4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7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71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B95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14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DA362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65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BA84D-1442-4CE7-8739-5FD57BD2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udet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Matyjas</dc:creator>
  <cp:lastModifiedBy>Frederic Matyjas</cp:lastModifiedBy>
  <cp:revision>42</cp:revision>
  <cp:lastPrinted>2019-12-17T09:18:00Z</cp:lastPrinted>
  <dcterms:created xsi:type="dcterms:W3CDTF">2019-12-17T07:24:00Z</dcterms:created>
  <dcterms:modified xsi:type="dcterms:W3CDTF">2020-03-23T14:01:00Z</dcterms:modified>
</cp:coreProperties>
</file>