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0C" w:rsidRDefault="0034290C" w:rsidP="00E2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Work Sans" w:hAnsi="Work Sans"/>
          <w:b/>
          <w:sz w:val="28"/>
        </w:rPr>
      </w:pPr>
      <w:r>
        <w:rPr>
          <w:rFonts w:ascii="Work Sans" w:hAnsi="Work Sans"/>
          <w:b/>
          <w:sz w:val="28"/>
        </w:rPr>
        <w:t xml:space="preserve">HRS4R – Groupe de travail n° 3 : conditions de travail </w:t>
      </w:r>
    </w:p>
    <w:p w:rsidR="007346AF" w:rsidRDefault="0034290C" w:rsidP="00E22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Work Sans" w:hAnsi="Work Sans"/>
          <w:b/>
          <w:sz w:val="28"/>
        </w:rPr>
      </w:pPr>
      <w:proofErr w:type="gramStart"/>
      <w:r>
        <w:rPr>
          <w:rFonts w:ascii="Work Sans" w:hAnsi="Work Sans"/>
          <w:b/>
          <w:sz w:val="28"/>
        </w:rPr>
        <w:t>et</w:t>
      </w:r>
      <w:proofErr w:type="gramEnd"/>
      <w:r>
        <w:rPr>
          <w:rFonts w:ascii="Work Sans" w:hAnsi="Work Sans"/>
          <w:b/>
          <w:sz w:val="28"/>
        </w:rPr>
        <w:t xml:space="preserve"> sécurité sociale</w:t>
      </w:r>
    </w:p>
    <w:p w:rsidR="000631CF" w:rsidRPr="000631CF" w:rsidRDefault="000631CF" w:rsidP="00E00FC5">
      <w:pPr>
        <w:jc w:val="center"/>
        <w:rPr>
          <w:rFonts w:ascii="Work Sans" w:hAnsi="Work Sans"/>
          <w:sz w:val="16"/>
          <w:u w:val="single"/>
        </w:rPr>
      </w:pPr>
    </w:p>
    <w:p w:rsidR="00E00FC5" w:rsidRPr="00DB53DA" w:rsidRDefault="00DF0E63" w:rsidP="00E00FC5">
      <w:pPr>
        <w:jc w:val="center"/>
        <w:rPr>
          <w:rFonts w:ascii="Work Sans" w:hAnsi="Work Sans"/>
          <w:sz w:val="28"/>
          <w:u w:val="single"/>
        </w:rPr>
      </w:pPr>
      <w:r w:rsidRPr="00DB53DA">
        <w:rPr>
          <w:rFonts w:ascii="Work Sans" w:hAnsi="Work Sans"/>
          <w:sz w:val="28"/>
          <w:u w:val="single"/>
        </w:rPr>
        <w:t xml:space="preserve">Compte-rendu </w:t>
      </w:r>
      <w:r w:rsidR="00B52915" w:rsidRPr="00DB53DA">
        <w:rPr>
          <w:rFonts w:ascii="Work Sans" w:hAnsi="Work Sans"/>
          <w:sz w:val="28"/>
          <w:u w:val="single"/>
        </w:rPr>
        <w:t xml:space="preserve">de la </w:t>
      </w:r>
      <w:r w:rsidRPr="00DB53DA">
        <w:rPr>
          <w:rFonts w:ascii="Work Sans" w:hAnsi="Work Sans"/>
          <w:sz w:val="28"/>
          <w:u w:val="single"/>
        </w:rPr>
        <w:t xml:space="preserve">réunion du </w:t>
      </w:r>
      <w:r w:rsidR="00106DAD">
        <w:rPr>
          <w:rFonts w:ascii="Work Sans" w:hAnsi="Work Sans"/>
          <w:sz w:val="28"/>
          <w:u w:val="single"/>
        </w:rPr>
        <w:t>19</w:t>
      </w:r>
      <w:r w:rsidR="00764BD4" w:rsidRPr="00DB53DA">
        <w:rPr>
          <w:rFonts w:ascii="Work Sans" w:hAnsi="Work Sans"/>
          <w:sz w:val="28"/>
          <w:u w:val="single"/>
        </w:rPr>
        <w:t>/</w:t>
      </w:r>
      <w:r w:rsidR="00607EDB">
        <w:rPr>
          <w:rFonts w:ascii="Work Sans" w:hAnsi="Work Sans"/>
          <w:sz w:val="28"/>
          <w:u w:val="single"/>
        </w:rPr>
        <w:t>1</w:t>
      </w:r>
      <w:r w:rsidR="00106DAD">
        <w:rPr>
          <w:rFonts w:ascii="Work Sans" w:hAnsi="Work Sans"/>
          <w:sz w:val="28"/>
          <w:u w:val="single"/>
        </w:rPr>
        <w:t>1</w:t>
      </w:r>
      <w:r w:rsidR="00E00FC5" w:rsidRPr="00DB53DA">
        <w:rPr>
          <w:rFonts w:ascii="Work Sans" w:hAnsi="Work Sans"/>
          <w:sz w:val="28"/>
          <w:u w:val="single"/>
        </w:rPr>
        <w:t>/201</w:t>
      </w:r>
      <w:r w:rsidR="00764BD4" w:rsidRPr="00DB53DA">
        <w:rPr>
          <w:rFonts w:ascii="Work Sans" w:hAnsi="Work Sans"/>
          <w:sz w:val="28"/>
          <w:u w:val="single"/>
        </w:rPr>
        <w:t>9</w:t>
      </w:r>
    </w:p>
    <w:p w:rsidR="00E00FC5" w:rsidRPr="008A37E1" w:rsidRDefault="00E00FC5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Présents :</w:t>
      </w:r>
      <w:r w:rsidRPr="008A37E1">
        <w:rPr>
          <w:rFonts w:ascii="Work Sans" w:hAnsi="Work Sans"/>
          <w:i/>
          <w:sz w:val="20"/>
        </w:rPr>
        <w:t xml:space="preserve"> </w:t>
      </w:r>
      <w:r w:rsidR="0034290C" w:rsidRPr="0034290C">
        <w:rPr>
          <w:rFonts w:ascii="Work Sans" w:hAnsi="Work Sans"/>
          <w:b/>
          <w:i/>
          <w:sz w:val="20"/>
        </w:rPr>
        <w:t>Concetta PENNUTO</w:t>
      </w:r>
      <w:r w:rsidR="0034290C">
        <w:rPr>
          <w:rFonts w:ascii="Work Sans" w:hAnsi="Work Sans"/>
          <w:i/>
          <w:sz w:val="20"/>
        </w:rPr>
        <w:t xml:space="preserve">, </w:t>
      </w:r>
      <w:r w:rsidR="00106DAD">
        <w:rPr>
          <w:rFonts w:ascii="Work Sans" w:hAnsi="Work Sans"/>
          <w:i/>
          <w:sz w:val="20"/>
        </w:rPr>
        <w:t>Federica OUDIN, M</w:t>
      </w:r>
      <w:r w:rsidR="00E2210C">
        <w:rPr>
          <w:rFonts w:ascii="Work Sans" w:hAnsi="Work Sans"/>
          <w:i/>
          <w:sz w:val="20"/>
        </w:rPr>
        <w:t>organe GUIBERT,</w:t>
      </w:r>
      <w:r w:rsidR="00106DAD">
        <w:rPr>
          <w:rFonts w:ascii="Work Sans" w:hAnsi="Work Sans"/>
          <w:i/>
          <w:sz w:val="20"/>
        </w:rPr>
        <w:t xml:space="preserve"> Germain ROUSSEAU (représentant Sylvie CROCHET),</w:t>
      </w:r>
      <w:r w:rsidR="0034290C">
        <w:rPr>
          <w:rFonts w:ascii="Work Sans" w:hAnsi="Work Sans"/>
          <w:i/>
          <w:sz w:val="20"/>
        </w:rPr>
        <w:t xml:space="preserve"> </w:t>
      </w:r>
      <w:r w:rsidR="00E2210C">
        <w:rPr>
          <w:rFonts w:ascii="Work Sans" w:hAnsi="Work Sans"/>
          <w:i/>
          <w:sz w:val="20"/>
        </w:rPr>
        <w:t xml:space="preserve">Eric BRICOUT, </w:t>
      </w:r>
      <w:r w:rsidR="000131E3" w:rsidRPr="008A37E1">
        <w:rPr>
          <w:rFonts w:ascii="Work Sans" w:hAnsi="Work Sans"/>
          <w:i/>
          <w:sz w:val="20"/>
        </w:rPr>
        <w:t>Frédéric MATYJAS</w:t>
      </w:r>
    </w:p>
    <w:p w:rsidR="00EF15D1" w:rsidRPr="00106DAD" w:rsidRDefault="00764BD4" w:rsidP="00E00FC5">
      <w:pPr>
        <w:jc w:val="both"/>
        <w:rPr>
          <w:rFonts w:ascii="Work Sans" w:hAnsi="Work Sans"/>
          <w:i/>
          <w:color w:val="000000" w:themeColor="text1"/>
          <w:sz w:val="20"/>
        </w:rPr>
      </w:pPr>
      <w:r w:rsidRPr="00106DAD">
        <w:rPr>
          <w:rFonts w:ascii="Work Sans" w:hAnsi="Work Sans"/>
          <w:i/>
          <w:sz w:val="20"/>
          <w:u w:val="single"/>
        </w:rPr>
        <w:t>Excusés :</w:t>
      </w:r>
      <w:r w:rsidRPr="00106DAD">
        <w:rPr>
          <w:rFonts w:ascii="Work Sans" w:hAnsi="Work Sans"/>
          <w:i/>
          <w:sz w:val="20"/>
        </w:rPr>
        <w:t xml:space="preserve"> </w:t>
      </w:r>
      <w:r w:rsidR="0034290C" w:rsidRPr="00106DAD">
        <w:rPr>
          <w:rFonts w:ascii="Work Sans" w:hAnsi="Work Sans"/>
          <w:i/>
          <w:sz w:val="20"/>
        </w:rPr>
        <w:t>Anna CHAMI, Igor CHOURPA</w:t>
      </w:r>
      <w:r w:rsidR="00106DAD" w:rsidRPr="00106DAD">
        <w:rPr>
          <w:rFonts w:ascii="Work Sans" w:hAnsi="Work Sans"/>
          <w:i/>
          <w:sz w:val="20"/>
        </w:rPr>
        <w:t xml:space="preserve">, </w:t>
      </w:r>
      <w:r w:rsidR="00106DAD" w:rsidRPr="00106DAD">
        <w:rPr>
          <w:rFonts w:ascii="Work Sans" w:hAnsi="Work Sans"/>
          <w:b/>
          <w:i/>
          <w:color w:val="FF0000"/>
          <w:sz w:val="20"/>
        </w:rPr>
        <w:t>Jérôme CASAS</w:t>
      </w:r>
      <w:r w:rsidR="00106DAD" w:rsidRPr="00106DAD">
        <w:rPr>
          <w:rFonts w:ascii="Work Sans" w:hAnsi="Work Sans"/>
          <w:i/>
          <w:color w:val="000000" w:themeColor="text1"/>
          <w:sz w:val="20"/>
        </w:rPr>
        <w:t xml:space="preserve">, Yves RAINGEAUD, </w:t>
      </w:r>
      <w:r w:rsidR="000E11A5">
        <w:rPr>
          <w:rFonts w:ascii="Work Sans" w:hAnsi="Work Sans"/>
          <w:i/>
          <w:color w:val="000000" w:themeColor="text1"/>
          <w:sz w:val="20"/>
        </w:rPr>
        <w:t>Vincent CAMUS, Manuelle RUILLIER</w:t>
      </w:r>
    </w:p>
    <w:p w:rsidR="00960F6D" w:rsidRDefault="00960F6D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B6106D" w:rsidRPr="000631CF" w:rsidRDefault="00B6106D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0"/>
          <w:szCs w:val="20"/>
        </w:rPr>
      </w:pPr>
    </w:p>
    <w:p w:rsidR="00EB1D31" w:rsidRPr="00B6106D" w:rsidRDefault="00EB1D31" w:rsidP="00EB1D31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B6106D">
        <w:rPr>
          <w:rFonts w:ascii="Work Sans" w:hAnsi="Work Sans"/>
          <w:b/>
          <w:sz w:val="24"/>
          <w:szCs w:val="20"/>
          <w:u w:val="single"/>
        </w:rPr>
        <w:t>L’analyse de l’item 2</w:t>
      </w:r>
      <w:r>
        <w:rPr>
          <w:rFonts w:ascii="Work Sans" w:hAnsi="Work Sans"/>
          <w:b/>
          <w:sz w:val="24"/>
          <w:szCs w:val="20"/>
          <w:u w:val="single"/>
        </w:rPr>
        <w:t>3</w:t>
      </w:r>
      <w:r w:rsidRPr="00B6106D">
        <w:rPr>
          <w:rFonts w:ascii="Work Sans" w:hAnsi="Work Sans"/>
          <w:b/>
          <w:sz w:val="24"/>
          <w:szCs w:val="20"/>
          <w:u w:val="single"/>
        </w:rPr>
        <w:t xml:space="preserve"> – </w:t>
      </w:r>
      <w:r w:rsidR="004B5B34">
        <w:rPr>
          <w:rFonts w:ascii="Work Sans" w:hAnsi="Work Sans"/>
          <w:b/>
          <w:sz w:val="24"/>
          <w:szCs w:val="20"/>
          <w:u w:val="single"/>
        </w:rPr>
        <w:t>environnement de la recherche</w:t>
      </w:r>
      <w:r w:rsidRPr="00B6106D">
        <w:rPr>
          <w:rFonts w:ascii="Work Sans" w:hAnsi="Work Sans"/>
          <w:b/>
          <w:sz w:val="24"/>
          <w:szCs w:val="20"/>
          <w:u w:val="single"/>
        </w:rPr>
        <w:t xml:space="preserve">, dresse les constats suivants : </w:t>
      </w:r>
    </w:p>
    <w:p w:rsidR="00EB1D31" w:rsidRDefault="00EB1D31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4B5B34" w:rsidRPr="008B5968" w:rsidRDefault="0012629A" w:rsidP="00EB1D31">
      <w:pPr>
        <w:pStyle w:val="Paragraphedeliste"/>
        <w:ind w:left="360"/>
        <w:jc w:val="both"/>
        <w:rPr>
          <w:rFonts w:ascii="Work Sans" w:hAnsi="Work Sans"/>
          <w:i/>
          <w:sz w:val="24"/>
        </w:rPr>
      </w:pPr>
      <w:r w:rsidRPr="008B5968">
        <w:rPr>
          <w:rFonts w:ascii="Work Sans" w:hAnsi="Work Sans"/>
          <w:i/>
          <w:sz w:val="24"/>
        </w:rPr>
        <w:t>-</w:t>
      </w:r>
      <w:r w:rsidR="005B3BF3" w:rsidRPr="008B5968">
        <w:rPr>
          <w:rFonts w:ascii="Work Sans" w:hAnsi="Work Sans"/>
          <w:i/>
          <w:sz w:val="24"/>
        </w:rPr>
        <w:t> encore</w:t>
      </w:r>
      <w:r w:rsidR="00073F79" w:rsidRPr="008B5968">
        <w:rPr>
          <w:rFonts w:ascii="Work Sans" w:hAnsi="Work Sans"/>
          <w:i/>
          <w:sz w:val="24"/>
        </w:rPr>
        <w:t xml:space="preserve"> une fois</w:t>
      </w:r>
      <w:r w:rsidR="005B3BF3" w:rsidRPr="008B5968">
        <w:rPr>
          <w:rFonts w:ascii="Work Sans" w:hAnsi="Work Sans"/>
          <w:i/>
          <w:sz w:val="24"/>
        </w:rPr>
        <w:t>, la question des moyens d’accueil concerne essentiellement les doctorants : surface de bureau, poste de travail, matériels informatiques, etc …</w:t>
      </w:r>
      <w:r w:rsidR="00A861E9" w:rsidRPr="008B5968">
        <w:rPr>
          <w:rFonts w:ascii="Work Sans" w:hAnsi="Work Sans"/>
          <w:i/>
          <w:sz w:val="24"/>
        </w:rPr>
        <w:t>, et diffère/varie selon les labora</w:t>
      </w:r>
      <w:r w:rsidR="00600E81" w:rsidRPr="008B5968">
        <w:rPr>
          <w:rFonts w:ascii="Work Sans" w:hAnsi="Work Sans"/>
          <w:i/>
          <w:sz w:val="24"/>
        </w:rPr>
        <w:t>toires concernés et les budgets (pour mémoire car évoqué le 8/10/2019)</w:t>
      </w:r>
      <w:r w:rsidR="00A05908" w:rsidRPr="008B5968">
        <w:rPr>
          <w:rFonts w:ascii="Work Sans" w:hAnsi="Work Sans"/>
          <w:i/>
          <w:sz w:val="24"/>
        </w:rPr>
        <w:t>.</w:t>
      </w:r>
    </w:p>
    <w:p w:rsidR="00600E81" w:rsidRPr="008B5968" w:rsidRDefault="00600E81" w:rsidP="00EB1D31">
      <w:pPr>
        <w:pStyle w:val="Paragraphedeliste"/>
        <w:ind w:left="360"/>
        <w:jc w:val="both"/>
        <w:rPr>
          <w:rFonts w:ascii="Work Sans" w:hAnsi="Work Sans"/>
          <w:i/>
          <w:sz w:val="24"/>
        </w:rPr>
      </w:pPr>
    </w:p>
    <w:p w:rsidR="00600E81" w:rsidRPr="008B5968" w:rsidRDefault="00600E81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  <w:r w:rsidRPr="008B5968">
        <w:rPr>
          <w:rFonts w:ascii="Work Sans" w:hAnsi="Work Sans"/>
          <w:sz w:val="24"/>
        </w:rPr>
        <w:t xml:space="preserve">- </w:t>
      </w:r>
      <w:r w:rsidR="00727035" w:rsidRPr="008B5968">
        <w:rPr>
          <w:rFonts w:ascii="Work Sans" w:hAnsi="Work Sans"/>
          <w:sz w:val="24"/>
        </w:rPr>
        <w:t xml:space="preserve">certains sites réservent un espace ou un lieu dédié aux doctorants ; </w:t>
      </w:r>
      <w:r w:rsidR="00B512E7" w:rsidRPr="008B5968">
        <w:rPr>
          <w:rFonts w:ascii="Work Sans" w:hAnsi="Work Sans"/>
          <w:sz w:val="24"/>
        </w:rPr>
        <w:t>pratique</w:t>
      </w:r>
      <w:r w:rsidR="00A05908" w:rsidRPr="008B5968">
        <w:rPr>
          <w:rFonts w:ascii="Work Sans" w:hAnsi="Work Sans"/>
          <w:sz w:val="24"/>
        </w:rPr>
        <w:t xml:space="preserve"> notamment </w:t>
      </w:r>
      <w:r w:rsidR="00B512E7" w:rsidRPr="008B5968">
        <w:rPr>
          <w:rFonts w:ascii="Work Sans" w:hAnsi="Work Sans"/>
          <w:sz w:val="24"/>
        </w:rPr>
        <w:t xml:space="preserve">pour les étrangers, </w:t>
      </w:r>
      <w:r w:rsidR="00727035" w:rsidRPr="008B5968">
        <w:rPr>
          <w:rFonts w:ascii="Work Sans" w:hAnsi="Work Sans"/>
          <w:sz w:val="24"/>
        </w:rPr>
        <w:t xml:space="preserve">cela leur permet de se retrouver entre eux, en leur évitant </w:t>
      </w:r>
      <w:r w:rsidR="00A05908" w:rsidRPr="008B5968">
        <w:rPr>
          <w:rFonts w:ascii="Work Sans" w:hAnsi="Work Sans"/>
          <w:sz w:val="24"/>
        </w:rPr>
        <w:t xml:space="preserve">également </w:t>
      </w:r>
      <w:r w:rsidR="00727035" w:rsidRPr="008B5968">
        <w:rPr>
          <w:rFonts w:ascii="Work Sans" w:hAnsi="Work Sans"/>
          <w:sz w:val="24"/>
        </w:rPr>
        <w:t>d’aller travailler à la bibliothèque</w:t>
      </w:r>
      <w:r w:rsidR="00A05908" w:rsidRPr="008B5968">
        <w:rPr>
          <w:rFonts w:ascii="Work Sans" w:hAnsi="Work Sans"/>
          <w:sz w:val="24"/>
        </w:rPr>
        <w:t>.</w:t>
      </w:r>
    </w:p>
    <w:p w:rsidR="007360B0" w:rsidRPr="008B5968" w:rsidRDefault="007360B0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7360B0" w:rsidRPr="008B5968" w:rsidRDefault="007360B0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  <w:r w:rsidRPr="008B5968">
        <w:rPr>
          <w:rFonts w:ascii="Work Sans" w:hAnsi="Work Sans"/>
          <w:sz w:val="24"/>
        </w:rPr>
        <w:t>- l’UT dispose d’un médecin de prévention, par ailleurs également psychologue du travail</w:t>
      </w:r>
      <w:r w:rsidR="00A05908" w:rsidRPr="008B5968">
        <w:rPr>
          <w:rFonts w:ascii="Work Sans" w:hAnsi="Work Sans"/>
          <w:sz w:val="24"/>
        </w:rPr>
        <w:t>.</w:t>
      </w:r>
    </w:p>
    <w:p w:rsidR="004310F8" w:rsidRPr="008B5968" w:rsidRDefault="004310F8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4310F8" w:rsidRPr="008B5968" w:rsidRDefault="004310F8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  <w:r w:rsidRPr="008B5968">
        <w:rPr>
          <w:rFonts w:ascii="Work Sans" w:hAnsi="Work Sans"/>
          <w:sz w:val="24"/>
        </w:rPr>
        <w:t>- les doctorants en situation de handicap peuvent se tourner vers la mission handicap de l’établissement. Par ailleurs, il existe un réseau de référents handicap dans les composantes et services (référents à 2 niveaux : personnels administratifs et enseignants), qui assure le relais avec ladite mission</w:t>
      </w:r>
      <w:r w:rsidR="00A05908" w:rsidRPr="008B5968">
        <w:rPr>
          <w:rFonts w:ascii="Work Sans" w:hAnsi="Work Sans"/>
          <w:sz w:val="24"/>
        </w:rPr>
        <w:t>.</w:t>
      </w:r>
    </w:p>
    <w:p w:rsidR="004310F8" w:rsidRPr="008B5968" w:rsidRDefault="004310F8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4310F8" w:rsidRPr="008B5968" w:rsidRDefault="004310F8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  <w:r w:rsidRPr="008B5968">
        <w:rPr>
          <w:rFonts w:ascii="Work Sans" w:hAnsi="Work Sans"/>
          <w:sz w:val="24"/>
        </w:rPr>
        <w:t>- la santé et sécurité au travail concerne majoritairement les activités des laboratoires</w:t>
      </w:r>
      <w:r w:rsidR="00467A31" w:rsidRPr="008B5968">
        <w:rPr>
          <w:rFonts w:ascii="Work Sans" w:hAnsi="Work Sans"/>
          <w:sz w:val="24"/>
        </w:rPr>
        <w:t xml:space="preserve"> (déjà évoqué par le GT1 – item 7). Se pose néanmoins la question des assurances par rapport aux accidents du travail (DAJ à solliciter pour plus de précisions)</w:t>
      </w:r>
      <w:r w:rsidR="00A05908" w:rsidRPr="008B5968">
        <w:rPr>
          <w:rFonts w:ascii="Work Sans" w:hAnsi="Work Sans"/>
          <w:sz w:val="24"/>
        </w:rPr>
        <w:t>.</w:t>
      </w:r>
    </w:p>
    <w:p w:rsidR="00EB1D31" w:rsidRPr="008B5968" w:rsidRDefault="00EB1D31" w:rsidP="00EB1D31">
      <w:pPr>
        <w:pStyle w:val="Paragraphedeliste"/>
        <w:ind w:left="360"/>
        <w:jc w:val="both"/>
        <w:rPr>
          <w:rFonts w:ascii="Work Sans" w:hAnsi="Work Sans"/>
          <w:sz w:val="24"/>
        </w:rPr>
      </w:pPr>
    </w:p>
    <w:p w:rsidR="00EB1D31" w:rsidRPr="008B5968" w:rsidRDefault="00EB1D31" w:rsidP="00EB1D31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23 - Les écarts décelés et les propositions d’action(s) :</w:t>
      </w:r>
      <w:r w:rsidR="00F007EF" w:rsidRPr="008B5968">
        <w:rPr>
          <w:rFonts w:ascii="Work Sans" w:hAnsi="Work Sans"/>
          <w:sz w:val="24"/>
          <w:szCs w:val="20"/>
        </w:rPr>
        <w:t xml:space="preserve"> </w:t>
      </w:r>
    </w:p>
    <w:p w:rsidR="003B467C" w:rsidRPr="008B5968" w:rsidRDefault="003B467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AB19C8" w:rsidRPr="008B5968" w:rsidRDefault="0072703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  <w:r w:rsidRPr="008B5968">
        <w:rPr>
          <w:rFonts w:ascii="Work Sans" w:hAnsi="Work Sans"/>
          <w:color w:val="000000" w:themeColor="text1"/>
          <w:sz w:val="24"/>
          <w:szCs w:val="24"/>
        </w:rPr>
        <w:t>- étendre à d’autres sites l’idée d’une salle commune réservée uniquement aux doctorants</w:t>
      </w:r>
      <w:r w:rsidR="00A05908" w:rsidRPr="008B5968">
        <w:rPr>
          <w:rFonts w:ascii="Work Sans" w:hAnsi="Work Sans"/>
          <w:color w:val="000000" w:themeColor="text1"/>
          <w:sz w:val="24"/>
          <w:szCs w:val="24"/>
        </w:rPr>
        <w:t>.</w:t>
      </w:r>
    </w:p>
    <w:p w:rsidR="00356280" w:rsidRPr="008B5968" w:rsidRDefault="0035628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444F76" w:rsidRPr="008B5968" w:rsidRDefault="00444F7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444F76" w:rsidRPr="008B5968" w:rsidRDefault="00444F76" w:rsidP="00444F76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24 – conditions de travail, dresse les constats suivants : </w:t>
      </w:r>
    </w:p>
    <w:p w:rsidR="00444F76" w:rsidRPr="008B5968" w:rsidRDefault="00444F7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A05908" w:rsidRPr="008B5968" w:rsidRDefault="00A05908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l’aménagement du temps de travail pour les EC en situation de handicap, avec des horaires adaptés et flexibles, se pratique à l’UT ; il nécessite néanmoins au préalable un passage en commission mé</w:t>
      </w:r>
      <w:r w:rsidR="00356280" w:rsidRPr="008B5968">
        <w:rPr>
          <w:rFonts w:ascii="Work Sans" w:hAnsi="Work Sans"/>
          <w:color w:val="000000" w:themeColor="text1"/>
          <w:sz w:val="24"/>
          <w:szCs w:val="20"/>
        </w:rPr>
        <w:t>di</w:t>
      </w:r>
      <w:r w:rsidRPr="008B5968">
        <w:rPr>
          <w:rFonts w:ascii="Work Sans" w:hAnsi="Work Sans"/>
          <w:color w:val="000000" w:themeColor="text1"/>
          <w:sz w:val="24"/>
          <w:szCs w:val="20"/>
        </w:rPr>
        <w:t>cale pour avis.</w:t>
      </w:r>
    </w:p>
    <w:p w:rsidR="00A05908" w:rsidRPr="008B5968" w:rsidRDefault="00A05908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A05908" w:rsidRPr="008B5968" w:rsidRDefault="00A05908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le télétravail est en place à l’UT depuis </w:t>
      </w:r>
      <w:r w:rsidR="00274CF0" w:rsidRPr="008B5968">
        <w:rPr>
          <w:rFonts w:ascii="Work Sans" w:hAnsi="Work Sans"/>
          <w:color w:val="000000" w:themeColor="text1"/>
          <w:sz w:val="24"/>
          <w:szCs w:val="20"/>
        </w:rPr>
        <w:t>2017</w:t>
      </w:r>
      <w:r w:rsidR="00C833C2" w:rsidRPr="008B5968">
        <w:rPr>
          <w:rFonts w:ascii="Work Sans" w:hAnsi="Work Sans"/>
          <w:color w:val="000000" w:themeColor="text1"/>
          <w:sz w:val="24"/>
          <w:szCs w:val="20"/>
        </w:rPr>
        <w:t xml:space="preserve"> (?)</w:t>
      </w:r>
      <w:r w:rsidR="00274CF0" w:rsidRPr="008B5968">
        <w:rPr>
          <w:rFonts w:ascii="Work Sans" w:hAnsi="Work Sans"/>
          <w:color w:val="000000" w:themeColor="text1"/>
          <w:sz w:val="24"/>
          <w:szCs w:val="20"/>
        </w:rPr>
        <w:t xml:space="preserve"> et accessible à l’ensemble des personnels.</w:t>
      </w:r>
    </w:p>
    <w:p w:rsidR="001922C6" w:rsidRPr="008B5968" w:rsidRDefault="001922C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922C6" w:rsidRPr="008B5968" w:rsidRDefault="001922C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des CRCT recherche et pédagogie sont </w:t>
      </w:r>
      <w:r w:rsidR="00274CF0" w:rsidRPr="008B5968">
        <w:rPr>
          <w:rFonts w:ascii="Work Sans" w:hAnsi="Work Sans"/>
          <w:color w:val="000000" w:themeColor="text1"/>
          <w:sz w:val="24"/>
          <w:szCs w:val="20"/>
        </w:rPr>
        <w:t>accordés</w:t>
      </w: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 (cf. GT4 – item 39)</w:t>
      </w:r>
      <w:r w:rsidR="004877A5" w:rsidRPr="008B5968">
        <w:rPr>
          <w:rFonts w:ascii="Work Sans" w:hAnsi="Work Sans"/>
          <w:color w:val="000000" w:themeColor="text1"/>
          <w:sz w:val="24"/>
          <w:szCs w:val="20"/>
        </w:rPr>
        <w:t>.</w:t>
      </w:r>
    </w:p>
    <w:p w:rsidR="004877A5" w:rsidRPr="008B5968" w:rsidRDefault="004877A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4877A5" w:rsidRPr="008B5968" w:rsidRDefault="004877A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contrairement au congé maternité, le congé paternité est peu utilisé à l’UT</w:t>
      </w:r>
    </w:p>
    <w:p w:rsidR="00A05908" w:rsidRPr="008B5968" w:rsidRDefault="00A05908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A05908" w:rsidRPr="008B5968" w:rsidRDefault="00A05908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la DRI </w:t>
      </w:r>
      <w:r w:rsidR="00274CF0" w:rsidRPr="008B5968">
        <w:rPr>
          <w:rFonts w:ascii="Work Sans" w:hAnsi="Work Sans"/>
          <w:color w:val="000000" w:themeColor="text1"/>
          <w:sz w:val="24"/>
          <w:szCs w:val="20"/>
        </w:rPr>
        <w:t>propose</w:t>
      </w: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 une aide à la scolarisation des enfants des EC étrangers</w:t>
      </w:r>
      <w:r w:rsidR="001922C6" w:rsidRPr="008B5968">
        <w:rPr>
          <w:rFonts w:ascii="Work Sans" w:hAnsi="Work Sans"/>
          <w:color w:val="000000" w:themeColor="text1"/>
          <w:sz w:val="24"/>
          <w:szCs w:val="20"/>
        </w:rPr>
        <w:t xml:space="preserve"> (nouveaux/futurs arrivants)</w:t>
      </w:r>
      <w:r w:rsidRPr="008B5968">
        <w:rPr>
          <w:rFonts w:ascii="Work Sans" w:hAnsi="Work Sans"/>
          <w:color w:val="000000" w:themeColor="text1"/>
          <w:sz w:val="24"/>
          <w:szCs w:val="20"/>
        </w:rPr>
        <w:t>, avec dispositif FLE possible, et peut également accompagner la recherche de travail du conjoint</w:t>
      </w:r>
      <w:r w:rsidR="001922C6" w:rsidRPr="008B5968">
        <w:rPr>
          <w:rFonts w:ascii="Work Sans" w:hAnsi="Work Sans"/>
          <w:color w:val="000000" w:themeColor="text1"/>
          <w:sz w:val="24"/>
          <w:szCs w:val="20"/>
        </w:rPr>
        <w:t>.</w:t>
      </w:r>
    </w:p>
    <w:p w:rsidR="001922C6" w:rsidRPr="008B5968" w:rsidRDefault="001922C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922C6" w:rsidRPr="008B5968" w:rsidRDefault="001922C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il existe également une convention CROUS/UT prévoyant des logements réservés pour faciliter l’hébergement des chercheurs.</w:t>
      </w:r>
    </w:p>
    <w:p w:rsidR="00467A31" w:rsidRPr="008B5968" w:rsidRDefault="00467A3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1922C6" w:rsidRPr="008B5968" w:rsidRDefault="001922C6" w:rsidP="001922C6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24 -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1922C6" w:rsidRPr="008B5968" w:rsidRDefault="001922C6" w:rsidP="001922C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1922C6" w:rsidRPr="008B5968" w:rsidRDefault="001922C6" w:rsidP="001922C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  <w:r w:rsidRPr="008B5968">
        <w:rPr>
          <w:rFonts w:ascii="Work Sans" w:hAnsi="Work Sans"/>
          <w:color w:val="000000" w:themeColor="text1"/>
          <w:sz w:val="24"/>
          <w:szCs w:val="24"/>
        </w:rPr>
        <w:t>- mieux communiquer sur les dispositifs d’accueil de la DRI.</w:t>
      </w:r>
    </w:p>
    <w:p w:rsidR="001922C6" w:rsidRPr="008B5968" w:rsidRDefault="001922C6" w:rsidP="001922C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1922C6" w:rsidRPr="008B5968" w:rsidRDefault="001922C6" w:rsidP="001922C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  <w:r w:rsidRPr="008B5968">
        <w:rPr>
          <w:rFonts w:ascii="Work Sans" w:hAnsi="Work Sans"/>
          <w:color w:val="000000" w:themeColor="text1"/>
          <w:sz w:val="24"/>
          <w:szCs w:val="24"/>
        </w:rPr>
        <w:t>- améliorer les dispositifs à destination des doctorants (social, accueil, logement, etc …), en développant une collaboration plus étroite avec le CROUS.</w:t>
      </w:r>
    </w:p>
    <w:p w:rsidR="001922C6" w:rsidRPr="008B5968" w:rsidRDefault="001922C6" w:rsidP="001922C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1922C6" w:rsidRPr="008B5968" w:rsidRDefault="001922C6" w:rsidP="001922C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  <w:r w:rsidRPr="008B5968">
        <w:rPr>
          <w:rFonts w:ascii="Work Sans" w:hAnsi="Work Sans"/>
          <w:color w:val="000000" w:themeColor="text1"/>
          <w:sz w:val="24"/>
          <w:szCs w:val="24"/>
        </w:rPr>
        <w:t xml:space="preserve">-  </w:t>
      </w:r>
      <w:r w:rsidR="004877A5" w:rsidRPr="008B5968">
        <w:rPr>
          <w:rFonts w:ascii="Work Sans" w:hAnsi="Work Sans"/>
          <w:color w:val="000000" w:themeColor="text1"/>
          <w:sz w:val="24"/>
          <w:szCs w:val="24"/>
        </w:rPr>
        <w:t>rappeler le droit au congé paternité ; en parallèle, travailler à la mise en place de facilités/structures</w:t>
      </w:r>
      <w:r w:rsidR="00363559" w:rsidRPr="008B5968">
        <w:rPr>
          <w:rFonts w:ascii="Work Sans" w:hAnsi="Work Sans"/>
          <w:color w:val="000000" w:themeColor="text1"/>
          <w:sz w:val="24"/>
          <w:szCs w:val="24"/>
        </w:rPr>
        <w:t xml:space="preserve"> (</w:t>
      </w:r>
      <w:r w:rsidR="00356280" w:rsidRPr="008B5968">
        <w:rPr>
          <w:rFonts w:ascii="Work Sans" w:hAnsi="Work Sans"/>
          <w:color w:val="000000" w:themeColor="text1"/>
          <w:sz w:val="24"/>
          <w:szCs w:val="24"/>
        </w:rPr>
        <w:t>crè</w:t>
      </w:r>
      <w:r w:rsidR="004877A5" w:rsidRPr="008B5968">
        <w:rPr>
          <w:rFonts w:ascii="Work Sans" w:hAnsi="Work Sans"/>
          <w:color w:val="000000" w:themeColor="text1"/>
          <w:sz w:val="24"/>
          <w:szCs w:val="24"/>
        </w:rPr>
        <w:t>ches ou halte-garderie</w:t>
      </w:r>
      <w:r w:rsidR="00363559" w:rsidRPr="008B5968">
        <w:rPr>
          <w:rFonts w:ascii="Work Sans" w:hAnsi="Work Sans"/>
          <w:color w:val="000000" w:themeColor="text1"/>
          <w:sz w:val="24"/>
          <w:szCs w:val="24"/>
        </w:rPr>
        <w:t>s)</w:t>
      </w:r>
      <w:r w:rsidR="004877A5" w:rsidRPr="008B5968">
        <w:rPr>
          <w:rFonts w:ascii="Work Sans" w:hAnsi="Work Sans"/>
          <w:color w:val="000000" w:themeColor="text1"/>
          <w:sz w:val="24"/>
          <w:szCs w:val="24"/>
        </w:rPr>
        <w:t xml:space="preserve"> pour les enfants des EC</w:t>
      </w:r>
      <w:r w:rsidR="00363559" w:rsidRPr="008B5968">
        <w:rPr>
          <w:rFonts w:ascii="Work Sans" w:hAnsi="Work Sans"/>
          <w:color w:val="000000" w:themeColor="text1"/>
          <w:sz w:val="24"/>
          <w:szCs w:val="24"/>
        </w:rPr>
        <w:t xml:space="preserve"> et/ou d’un service d’accompagnement pour les activités des enfants des personnels.</w:t>
      </w:r>
    </w:p>
    <w:p w:rsidR="005A27DA" w:rsidRPr="008B5968" w:rsidRDefault="005A27DA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5A27DA" w:rsidRPr="008B5968" w:rsidRDefault="005A27DA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0"/>
          <w:szCs w:val="20"/>
        </w:rPr>
      </w:pPr>
    </w:p>
    <w:p w:rsidR="005A27DA" w:rsidRPr="008B5968" w:rsidRDefault="005A27DA" w:rsidP="005A27DA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25 – stabilité et continuité de l’emploi, dresse les constats suivants : </w:t>
      </w:r>
    </w:p>
    <w:p w:rsidR="005A27DA" w:rsidRPr="008B5968" w:rsidRDefault="005A27DA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0"/>
          <w:szCs w:val="20"/>
        </w:rPr>
      </w:pPr>
    </w:p>
    <w:p w:rsidR="001C6B64" w:rsidRPr="008B5968" w:rsidRDefault="005A27DA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="001C6B64" w:rsidRPr="008B5968">
        <w:rPr>
          <w:rFonts w:ascii="Work Sans" w:hAnsi="Work Sans"/>
          <w:color w:val="000000" w:themeColor="text1"/>
          <w:sz w:val="24"/>
          <w:szCs w:val="20"/>
        </w:rPr>
        <w:t>item concernant e</w:t>
      </w:r>
      <w:r w:rsidR="00F50AE5" w:rsidRPr="008B5968">
        <w:rPr>
          <w:rFonts w:ascii="Work Sans" w:hAnsi="Work Sans"/>
          <w:color w:val="000000" w:themeColor="text1"/>
          <w:sz w:val="24"/>
          <w:szCs w:val="20"/>
        </w:rPr>
        <w:t xml:space="preserve">ssentiellement les contractuels ; à cet effet, </w:t>
      </w:r>
      <w:r w:rsidR="001C6AB7" w:rsidRPr="008B5968">
        <w:rPr>
          <w:rFonts w:ascii="Work Sans" w:hAnsi="Work Sans"/>
          <w:color w:val="000000" w:themeColor="text1"/>
          <w:sz w:val="24"/>
          <w:szCs w:val="20"/>
        </w:rPr>
        <w:t xml:space="preserve">la charte des contractuels, normalement connue, encadre les choses à minima. </w:t>
      </w:r>
    </w:p>
    <w:p w:rsidR="00117364" w:rsidRPr="008B5968" w:rsidRDefault="00117364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17364" w:rsidRPr="008B5968" w:rsidRDefault="00117364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néanmoins, quelles sont les modalités d’accompagnement des contractuels en fin de droits ? un point 1 an avant la fin du contrat est-il prévu et surtout réellement pratiqué ?</w:t>
      </w:r>
    </w:p>
    <w:p w:rsidR="00117364" w:rsidRPr="008B5968" w:rsidRDefault="00117364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17364" w:rsidRPr="008B5968" w:rsidRDefault="00117364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des CDI sont proposés ponctuellement à des contractuels hors projets recherche</w:t>
      </w:r>
      <w:r w:rsidR="009339F0" w:rsidRPr="008B5968">
        <w:rPr>
          <w:rFonts w:ascii="Work Sans" w:hAnsi="Work Sans"/>
          <w:color w:val="000000" w:themeColor="text1"/>
          <w:sz w:val="24"/>
          <w:szCs w:val="20"/>
        </w:rPr>
        <w:t xml:space="preserve"> (processus de « cdification »)</w:t>
      </w:r>
      <w:r w:rsidRPr="008B5968">
        <w:rPr>
          <w:rFonts w:ascii="Work Sans" w:hAnsi="Work Sans"/>
          <w:color w:val="000000" w:themeColor="text1"/>
          <w:sz w:val="24"/>
          <w:szCs w:val="20"/>
        </w:rPr>
        <w:t>.</w:t>
      </w:r>
    </w:p>
    <w:p w:rsidR="00117364" w:rsidRPr="008B5968" w:rsidRDefault="00117364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17364" w:rsidRPr="008B5968" w:rsidRDefault="00117364" w:rsidP="005A27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les contrats doctoraux sont conclus sur une durée de 36 mois.</w:t>
      </w: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1C6AB7" w:rsidRPr="008B5968" w:rsidRDefault="001C6AB7" w:rsidP="001C6AB7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2</w:t>
      </w:r>
      <w:r w:rsidR="007B3BD0" w:rsidRPr="008B5968">
        <w:rPr>
          <w:rFonts w:ascii="Work Sans" w:hAnsi="Work Sans"/>
          <w:b/>
          <w:sz w:val="24"/>
          <w:szCs w:val="20"/>
          <w:u w:val="single"/>
        </w:rPr>
        <w:t>5</w:t>
      </w:r>
      <w:r w:rsidRPr="008B5968">
        <w:rPr>
          <w:rFonts w:ascii="Work Sans" w:hAnsi="Work Sans"/>
          <w:b/>
          <w:sz w:val="24"/>
          <w:szCs w:val="20"/>
          <w:u w:val="single"/>
        </w:rPr>
        <w:t xml:space="preserve">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1C6AB7" w:rsidRPr="008B5968" w:rsidRDefault="00117364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pour les CDD, calquer </w:t>
      </w:r>
      <w:r w:rsidR="009339F0" w:rsidRPr="008B5968">
        <w:rPr>
          <w:rFonts w:ascii="Work Sans" w:hAnsi="Work Sans"/>
          <w:color w:val="000000" w:themeColor="text1"/>
          <w:sz w:val="24"/>
          <w:szCs w:val="20"/>
        </w:rPr>
        <w:t xml:space="preserve">systématiquement </w:t>
      </w:r>
      <w:r w:rsidRPr="008B5968">
        <w:rPr>
          <w:rFonts w:ascii="Work Sans" w:hAnsi="Work Sans"/>
          <w:color w:val="000000" w:themeColor="text1"/>
          <w:sz w:val="24"/>
          <w:szCs w:val="20"/>
        </w:rPr>
        <w:t>la durée du contrat sur la durée du projet de recherche, tout en allongeant proportionnellement la période d’essai</w:t>
      </w:r>
    </w:p>
    <w:p w:rsidR="00117364" w:rsidRPr="008B5968" w:rsidRDefault="00117364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17364" w:rsidRPr="008B5968" w:rsidRDefault="00117364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="007B3BD0" w:rsidRPr="008B5968">
        <w:rPr>
          <w:rFonts w:ascii="Work Sans" w:hAnsi="Work Sans"/>
          <w:color w:val="000000" w:themeColor="text1"/>
          <w:sz w:val="24"/>
          <w:szCs w:val="20"/>
        </w:rPr>
        <w:t xml:space="preserve">faire monter en compétence certains gestionnaires RH sur des profils de </w:t>
      </w: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conseillers « carrière » pour </w:t>
      </w:r>
      <w:r w:rsidR="007B3BD0" w:rsidRPr="008B5968">
        <w:rPr>
          <w:rFonts w:ascii="Work Sans" w:hAnsi="Work Sans"/>
          <w:color w:val="000000" w:themeColor="text1"/>
          <w:sz w:val="24"/>
          <w:szCs w:val="20"/>
        </w:rPr>
        <w:t xml:space="preserve">un meilleur </w:t>
      </w:r>
      <w:r w:rsidRPr="008B5968">
        <w:rPr>
          <w:rFonts w:ascii="Work Sans" w:hAnsi="Work Sans"/>
          <w:color w:val="000000" w:themeColor="text1"/>
          <w:sz w:val="24"/>
          <w:szCs w:val="20"/>
        </w:rPr>
        <w:t>accompagnement des EC</w:t>
      </w: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3515D5" w:rsidRPr="008B5968" w:rsidRDefault="003515D5" w:rsidP="003515D5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26 – financement et salaires, dresse les constats suivants : </w:t>
      </w:r>
    </w:p>
    <w:p w:rsidR="003515D5" w:rsidRPr="008B5968" w:rsidRDefault="003515D5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0"/>
          <w:szCs w:val="20"/>
        </w:rPr>
      </w:pPr>
    </w:p>
    <w:p w:rsidR="00132C7A" w:rsidRPr="008B5968" w:rsidRDefault="00132C7A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lié à l’item 22 concernant la reconnaissance de la profession</w:t>
      </w:r>
    </w:p>
    <w:p w:rsidR="00132C7A" w:rsidRPr="008B5968" w:rsidRDefault="00132C7A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0B49C0" w:rsidRPr="008B5968" w:rsidRDefault="003515D5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lastRenderedPageBreak/>
        <w:t xml:space="preserve">- </w:t>
      </w:r>
      <w:r w:rsidR="000B49C0" w:rsidRPr="008B5968">
        <w:rPr>
          <w:rFonts w:ascii="Work Sans" w:hAnsi="Work Sans"/>
          <w:color w:val="000000" w:themeColor="text1"/>
          <w:sz w:val="24"/>
          <w:szCs w:val="20"/>
        </w:rPr>
        <w:t>tous les personnels contractuels </w:t>
      </w:r>
      <w:r w:rsidR="00132C7A" w:rsidRPr="008B5968">
        <w:rPr>
          <w:rFonts w:ascii="Work Sans" w:hAnsi="Work Sans"/>
          <w:color w:val="000000" w:themeColor="text1"/>
          <w:sz w:val="24"/>
          <w:szCs w:val="20"/>
        </w:rPr>
        <w:t xml:space="preserve">bénéficient </w:t>
      </w:r>
      <w:r w:rsidR="000B49C0" w:rsidRPr="008B5968">
        <w:rPr>
          <w:rFonts w:ascii="Work Sans" w:hAnsi="Work Sans"/>
          <w:color w:val="000000" w:themeColor="text1"/>
          <w:sz w:val="24"/>
          <w:szCs w:val="20"/>
        </w:rPr>
        <w:t>systématiquement d’un contrat de travail</w:t>
      </w:r>
      <w:r w:rsidR="00132C7A" w:rsidRPr="008B5968">
        <w:rPr>
          <w:rFonts w:ascii="Work Sans" w:hAnsi="Work Sans"/>
          <w:color w:val="000000" w:themeColor="text1"/>
          <w:sz w:val="24"/>
          <w:szCs w:val="20"/>
        </w:rPr>
        <w:t xml:space="preserve"> en bonne et due forme, offrant</w:t>
      </w:r>
      <w:r w:rsidR="000B49C0" w:rsidRPr="008B5968">
        <w:rPr>
          <w:rFonts w:ascii="Work Sans" w:hAnsi="Work Sans"/>
          <w:color w:val="000000" w:themeColor="text1"/>
          <w:sz w:val="24"/>
          <w:szCs w:val="20"/>
        </w:rPr>
        <w:t xml:space="preserve"> de droit et de fait </w:t>
      </w:r>
      <w:r w:rsidR="00132C7A" w:rsidRPr="008B5968">
        <w:rPr>
          <w:rFonts w:ascii="Work Sans" w:hAnsi="Work Sans"/>
          <w:color w:val="000000" w:themeColor="text1"/>
          <w:sz w:val="24"/>
          <w:szCs w:val="20"/>
        </w:rPr>
        <w:t>la</w:t>
      </w:r>
      <w:r w:rsidR="000B49C0" w:rsidRPr="008B5968">
        <w:rPr>
          <w:rFonts w:ascii="Work Sans" w:hAnsi="Work Sans"/>
          <w:color w:val="000000" w:themeColor="text1"/>
          <w:sz w:val="24"/>
          <w:szCs w:val="20"/>
        </w:rPr>
        <w:t xml:space="preserve"> protection sociale</w:t>
      </w:r>
      <w:r w:rsidR="00132C7A" w:rsidRPr="008B5968">
        <w:rPr>
          <w:rFonts w:ascii="Work Sans" w:hAnsi="Work Sans"/>
          <w:color w:val="000000" w:themeColor="text1"/>
          <w:sz w:val="24"/>
          <w:szCs w:val="20"/>
        </w:rPr>
        <w:t xml:space="preserve"> correspondante.</w:t>
      </w:r>
    </w:p>
    <w:p w:rsidR="000B49C0" w:rsidRPr="008B5968" w:rsidRDefault="000B49C0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3515D5" w:rsidRPr="008B5968" w:rsidRDefault="000B49C0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="00D82511" w:rsidRPr="008B5968">
        <w:rPr>
          <w:rFonts w:ascii="Work Sans" w:hAnsi="Work Sans"/>
          <w:color w:val="000000" w:themeColor="text1"/>
          <w:sz w:val="24"/>
          <w:szCs w:val="20"/>
        </w:rPr>
        <w:t>l’UT attribue un salaire minimum pour les contrats doctoraux.</w:t>
      </w:r>
    </w:p>
    <w:p w:rsidR="00D82511" w:rsidRPr="008B5968" w:rsidRDefault="00D82511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D82511" w:rsidRPr="008B5968" w:rsidRDefault="00D82511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la rémunération peut être variable selon le domaine concerné ; logiquement, si l’on se situe dans du spécifique, et en l’absence de concurrence, le salaire versé augmente.</w:t>
      </w:r>
    </w:p>
    <w:p w:rsidR="00D82511" w:rsidRPr="008B5968" w:rsidRDefault="00D82511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D82511" w:rsidRPr="008B5968" w:rsidRDefault="00D82511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les critères tels que </w:t>
      </w:r>
      <w:r w:rsidR="00132C7A" w:rsidRPr="008B5968">
        <w:rPr>
          <w:rFonts w:ascii="Work Sans" w:hAnsi="Work Sans"/>
          <w:color w:val="000000" w:themeColor="text1"/>
          <w:sz w:val="24"/>
          <w:szCs w:val="20"/>
        </w:rPr>
        <w:t xml:space="preserve">le diplôme, </w:t>
      </w:r>
      <w:r w:rsidRPr="008B5968">
        <w:rPr>
          <w:rFonts w:ascii="Work Sans" w:hAnsi="Work Sans"/>
          <w:color w:val="000000" w:themeColor="text1"/>
          <w:sz w:val="24"/>
          <w:szCs w:val="20"/>
        </w:rPr>
        <w:t>l’expérience, l’ancienneté, les compétences, etc … sont-ils pris en compte afin de déterminer la rémunération à l’UT ?</w:t>
      </w:r>
    </w:p>
    <w:p w:rsidR="003515D5" w:rsidRPr="008B5968" w:rsidRDefault="003515D5" w:rsidP="003515D5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3515D5" w:rsidRPr="008B5968" w:rsidRDefault="003515D5" w:rsidP="003515D5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26 -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D82511" w:rsidRPr="008B5968" w:rsidRDefault="00D8251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  <w:r w:rsidRPr="008B5968">
        <w:rPr>
          <w:rFonts w:ascii="Work Sans" w:hAnsi="Work Sans"/>
          <w:color w:val="000000" w:themeColor="text1"/>
          <w:sz w:val="24"/>
          <w:szCs w:val="24"/>
        </w:rPr>
        <w:t>- afin d’avoir une politique salariale plus juste/égalitaire et cohérente, chercher à diminuer les écarts de salaires en allant vers une homogénéisation des rémunérations.</w:t>
      </w:r>
    </w:p>
    <w:p w:rsidR="00D82511" w:rsidRPr="008B5968" w:rsidRDefault="00D8251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132C7A" w:rsidRPr="008B5968" w:rsidRDefault="00132C7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132C7A" w:rsidRPr="008B5968" w:rsidRDefault="00132C7A" w:rsidP="00132C7A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27 – équilibre entre les sexes, dresse les constats suivants : </w:t>
      </w:r>
    </w:p>
    <w:p w:rsidR="00132C7A" w:rsidRPr="008B5968" w:rsidRDefault="00132C7A" w:rsidP="00132C7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0"/>
          <w:szCs w:val="20"/>
        </w:rPr>
      </w:pPr>
    </w:p>
    <w:p w:rsidR="008377C0" w:rsidRPr="008B5968" w:rsidRDefault="00132C7A" w:rsidP="00B92188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="008377C0" w:rsidRPr="008B5968">
        <w:rPr>
          <w:rFonts w:ascii="Work Sans" w:hAnsi="Work Sans"/>
          <w:color w:val="000000" w:themeColor="text1"/>
          <w:sz w:val="24"/>
          <w:szCs w:val="20"/>
        </w:rPr>
        <w:t>observation d’un déséquilibre en défaveur des femmes, pour les postes à responsabilités notamment (ex. des doyens d’UFR avec une population à dominante masculine).</w:t>
      </w:r>
    </w:p>
    <w:p w:rsidR="008377C0" w:rsidRPr="008B5968" w:rsidRDefault="008377C0" w:rsidP="00B92188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32C7A" w:rsidRPr="008B5968" w:rsidRDefault="008377C0" w:rsidP="00B92188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pour les comités de sélection, obligation de respecter la parité femmes/hommes (cf. GT2).</w:t>
      </w:r>
    </w:p>
    <w:p w:rsidR="008377C0" w:rsidRPr="008B5968" w:rsidRDefault="008377C0" w:rsidP="00B92188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8377C0" w:rsidRPr="008B5968" w:rsidRDefault="008377C0" w:rsidP="00B92188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plusieurs organisations de cafés et de journées de l’égalité, et de différentes campagnes sur le sujet, à l’UT ; peu de succès et de participants cependant.</w:t>
      </w:r>
    </w:p>
    <w:p w:rsidR="008377C0" w:rsidRPr="008B5968" w:rsidRDefault="008377C0" w:rsidP="00B92188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8377C0" w:rsidRPr="008B5968" w:rsidRDefault="008377C0" w:rsidP="00B92188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inégalité constatée pour les femmes qui s’arrêtent souvent après leur thèse.</w:t>
      </w:r>
    </w:p>
    <w:p w:rsidR="00132C7A" w:rsidRPr="008B5968" w:rsidRDefault="00132C7A" w:rsidP="00132C7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132C7A" w:rsidRPr="008B5968" w:rsidRDefault="00132C7A" w:rsidP="00132C7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132C7A" w:rsidRPr="008B5968" w:rsidRDefault="00132C7A" w:rsidP="00132C7A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27 -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D82511" w:rsidRPr="008B5968" w:rsidRDefault="00D8251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5A27DA" w:rsidRPr="008B5968" w:rsidRDefault="008377C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réfléchir à un mentorat ou un marrainage/parrainage </w:t>
      </w:r>
      <w:r w:rsidR="007A4502" w:rsidRPr="008B5968">
        <w:rPr>
          <w:rFonts w:ascii="Work Sans" w:hAnsi="Work Sans"/>
          <w:color w:val="000000" w:themeColor="text1"/>
          <w:sz w:val="24"/>
          <w:szCs w:val="20"/>
        </w:rPr>
        <w:t xml:space="preserve">spécifiquement </w:t>
      </w:r>
      <w:r w:rsidRPr="008B5968">
        <w:rPr>
          <w:rFonts w:ascii="Work Sans" w:hAnsi="Work Sans"/>
          <w:color w:val="000000" w:themeColor="text1"/>
          <w:sz w:val="24"/>
          <w:szCs w:val="20"/>
        </w:rPr>
        <w:t>à destination des femmes en carrière universitaire.</w:t>
      </w:r>
    </w:p>
    <w:p w:rsidR="008377C0" w:rsidRPr="008B5968" w:rsidRDefault="008377C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8377C0" w:rsidRPr="008B5968" w:rsidRDefault="008377C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mener des actions de sensibilisation et d’encouragement auprès des femmes pour candidater à des postes de direction, responsables de laboratoire, d’équipe ou de département.</w:t>
      </w: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8377C0" w:rsidRPr="008B5968" w:rsidRDefault="008377C0" w:rsidP="008377C0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28 – développement de carrière, dresse les constats suivants : </w:t>
      </w:r>
    </w:p>
    <w:p w:rsidR="008377C0" w:rsidRPr="008B5968" w:rsidRDefault="008377C0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0"/>
          <w:szCs w:val="20"/>
        </w:rPr>
      </w:pPr>
    </w:p>
    <w:p w:rsidR="00121586" w:rsidRPr="008B5968" w:rsidRDefault="008377C0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="00121586" w:rsidRPr="008B5968">
        <w:rPr>
          <w:rFonts w:ascii="Work Sans" w:hAnsi="Work Sans"/>
          <w:color w:val="000000" w:themeColor="text1"/>
          <w:sz w:val="24"/>
          <w:szCs w:val="20"/>
        </w:rPr>
        <w:t>lié à l’item 39 du GT4 concernant l’accès à formation à la recherche et au développement continu</w:t>
      </w:r>
      <w:r w:rsidR="000804AE" w:rsidRPr="008B5968">
        <w:rPr>
          <w:rFonts w:ascii="Work Sans" w:hAnsi="Work Sans"/>
          <w:color w:val="000000" w:themeColor="text1"/>
          <w:sz w:val="24"/>
          <w:szCs w:val="20"/>
        </w:rPr>
        <w:t>.</w:t>
      </w:r>
    </w:p>
    <w:p w:rsidR="002D61C0" w:rsidRPr="008B5968" w:rsidRDefault="002D61C0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2D61C0" w:rsidRPr="008B5968" w:rsidRDefault="002D61C0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des entretiens professionnels « avancement de carrière » sont prévus avec les VP recherche, VP enseignement et la DRH.</w:t>
      </w:r>
    </w:p>
    <w:p w:rsidR="0081510F" w:rsidRPr="008B5968" w:rsidRDefault="0081510F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21586" w:rsidRPr="008B5968" w:rsidRDefault="0081510F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lastRenderedPageBreak/>
        <w:t>-</w:t>
      </w:r>
      <w:r w:rsidRPr="008B5968">
        <w:rPr>
          <w:rFonts w:ascii="Work Sans" w:hAnsi="Work Sans"/>
          <w:color w:val="000000" w:themeColor="text1"/>
          <w:sz w:val="24"/>
          <w:szCs w:val="20"/>
        </w:rPr>
        <w:tab/>
        <w:t xml:space="preserve">la question centrale </w:t>
      </w:r>
      <w:r w:rsidR="0092790B" w:rsidRPr="008B5968">
        <w:rPr>
          <w:rFonts w:ascii="Work Sans" w:hAnsi="Work Sans"/>
          <w:color w:val="000000" w:themeColor="text1"/>
          <w:sz w:val="24"/>
          <w:szCs w:val="20"/>
        </w:rPr>
        <w:t xml:space="preserve">qui se pose </w:t>
      </w: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pour les doctorants étrangers : comment devenir titulaire et s’installer en France ? </w:t>
      </w:r>
    </w:p>
    <w:p w:rsidR="0081510F" w:rsidRPr="008B5968" w:rsidRDefault="0081510F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21586" w:rsidRPr="008B5968" w:rsidRDefault="00121586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des informations sont diffusées sur les possibilités de création d’entreprise</w:t>
      </w:r>
      <w:r w:rsidR="000769D4" w:rsidRPr="008B5968">
        <w:rPr>
          <w:rFonts w:ascii="Work Sans" w:hAnsi="Work Sans"/>
          <w:color w:val="000000" w:themeColor="text1"/>
          <w:sz w:val="24"/>
          <w:szCs w:val="20"/>
        </w:rPr>
        <w:t xml:space="preserve"> et en matière d’entreprenariat (en partenariat avec PEPITE Centre Val de Loire).</w:t>
      </w:r>
    </w:p>
    <w:p w:rsidR="00121586" w:rsidRPr="008B5968" w:rsidRDefault="00121586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8377C0" w:rsidRPr="008B5968" w:rsidRDefault="00121586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le guide des formations doctorales a été mis à jour récemment</w:t>
      </w:r>
      <w:r w:rsidR="000804AE" w:rsidRPr="008B5968">
        <w:rPr>
          <w:rFonts w:ascii="Work Sans" w:hAnsi="Work Sans"/>
          <w:color w:val="000000" w:themeColor="text1"/>
          <w:sz w:val="24"/>
          <w:szCs w:val="20"/>
        </w:rPr>
        <w:t>.</w:t>
      </w:r>
    </w:p>
    <w:p w:rsidR="008377C0" w:rsidRPr="008B5968" w:rsidRDefault="008377C0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8377C0" w:rsidRPr="008B5968" w:rsidRDefault="008377C0" w:rsidP="008377C0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2</w:t>
      </w:r>
      <w:r w:rsidR="00C546EA" w:rsidRPr="008B5968">
        <w:rPr>
          <w:rFonts w:ascii="Work Sans" w:hAnsi="Work Sans"/>
          <w:b/>
          <w:sz w:val="24"/>
          <w:szCs w:val="20"/>
          <w:u w:val="single"/>
        </w:rPr>
        <w:t>8</w:t>
      </w:r>
      <w:r w:rsidRPr="008B5968">
        <w:rPr>
          <w:rFonts w:ascii="Work Sans" w:hAnsi="Work Sans"/>
          <w:b/>
          <w:sz w:val="24"/>
          <w:szCs w:val="20"/>
          <w:u w:val="single"/>
        </w:rPr>
        <w:t xml:space="preserve">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8377C0" w:rsidRPr="008B5968" w:rsidRDefault="008377C0" w:rsidP="008377C0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81510F" w:rsidRPr="008B5968" w:rsidRDefault="0081510F" w:rsidP="0081510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travailler avec le Chargé d’insertion des écoles doctorales (Wilfried SCHWARTZ) sur un dispositif de développement de carrière dans et hors établissement (détachement, par ex.).</w:t>
      </w:r>
    </w:p>
    <w:p w:rsidR="0081510F" w:rsidRPr="008B5968" w:rsidRDefault="0081510F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7A4502" w:rsidRPr="008B5968" w:rsidRDefault="008377C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="007A4502" w:rsidRPr="008B5968">
        <w:rPr>
          <w:rFonts w:ascii="Work Sans" w:hAnsi="Work Sans"/>
          <w:color w:val="000000" w:themeColor="text1"/>
          <w:sz w:val="24"/>
          <w:szCs w:val="20"/>
        </w:rPr>
        <w:t>améliorer l’information sur les possibilités de mobilité (ex. ERASMUS)</w:t>
      </w:r>
      <w:r w:rsidR="00215B7A" w:rsidRPr="008B5968">
        <w:rPr>
          <w:rFonts w:ascii="Work Sans" w:hAnsi="Work Sans"/>
          <w:color w:val="000000" w:themeColor="text1"/>
          <w:sz w:val="24"/>
          <w:szCs w:val="20"/>
        </w:rPr>
        <w:t>, en</w:t>
      </w:r>
      <w:r w:rsidR="00910219" w:rsidRPr="008B5968">
        <w:rPr>
          <w:rFonts w:ascii="Work Sans" w:hAnsi="Work Sans"/>
          <w:color w:val="000000" w:themeColor="text1"/>
          <w:sz w:val="24"/>
          <w:szCs w:val="20"/>
        </w:rPr>
        <w:t xml:space="preserve"> adoptant une appro</w:t>
      </w:r>
      <w:r w:rsidR="00215B7A" w:rsidRPr="008B5968">
        <w:rPr>
          <w:rFonts w:ascii="Work Sans" w:hAnsi="Work Sans"/>
          <w:color w:val="000000" w:themeColor="text1"/>
          <w:sz w:val="24"/>
          <w:szCs w:val="20"/>
        </w:rPr>
        <w:t>che plus transversale à l’aide de fiches synthétiques et spécifiques (mobilité interne / externe).</w:t>
      </w:r>
    </w:p>
    <w:p w:rsidR="007A4502" w:rsidRPr="008B5968" w:rsidRDefault="007A4502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7A4502" w:rsidRPr="008B5968" w:rsidRDefault="007A4502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proposer des cours de français aux chercheurs étrangers, ainsi qu’</w:t>
      </w:r>
      <w:r w:rsidR="00DC64F9" w:rsidRPr="008B5968">
        <w:rPr>
          <w:rFonts w:ascii="Work Sans" w:hAnsi="Work Sans"/>
          <w:color w:val="000000" w:themeColor="text1"/>
          <w:sz w:val="24"/>
          <w:szCs w:val="20"/>
        </w:rPr>
        <w:t xml:space="preserve">à leur conjoint (via </w:t>
      </w:r>
      <w:r w:rsidRPr="008B5968">
        <w:rPr>
          <w:rFonts w:ascii="Work Sans" w:hAnsi="Work Sans"/>
          <w:color w:val="000000" w:themeColor="text1"/>
          <w:sz w:val="24"/>
          <w:szCs w:val="20"/>
        </w:rPr>
        <w:t>le CUEF</w:t>
      </w:r>
      <w:r w:rsidR="00DC64F9" w:rsidRPr="008B5968">
        <w:rPr>
          <w:rFonts w:ascii="Work Sans" w:hAnsi="Work Sans"/>
          <w:color w:val="000000" w:themeColor="text1"/>
          <w:sz w:val="24"/>
          <w:szCs w:val="20"/>
        </w:rPr>
        <w:t>E</w:t>
      </w:r>
      <w:r w:rsidRPr="008B5968">
        <w:rPr>
          <w:rFonts w:ascii="Work Sans" w:hAnsi="Work Sans"/>
          <w:color w:val="000000" w:themeColor="text1"/>
          <w:sz w:val="24"/>
          <w:szCs w:val="20"/>
        </w:rPr>
        <w:t>E ?)</w:t>
      </w:r>
      <w:r w:rsidR="00215B7A" w:rsidRPr="008B5968">
        <w:rPr>
          <w:rFonts w:ascii="Work Sans" w:hAnsi="Work Sans"/>
          <w:color w:val="000000" w:themeColor="text1"/>
          <w:sz w:val="24"/>
          <w:szCs w:val="20"/>
        </w:rPr>
        <w:t>.</w:t>
      </w: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DC64F9" w:rsidRPr="008B5968" w:rsidRDefault="00DC64F9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DC64F9" w:rsidRPr="008B5968" w:rsidRDefault="00DC64F9" w:rsidP="00DC64F9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DC64F9" w:rsidRPr="008B5968" w:rsidRDefault="00DC64F9" w:rsidP="00DC64F9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29 – valorisation de la mobilité, dresse les constats suivants : </w:t>
      </w:r>
    </w:p>
    <w:p w:rsidR="005A27DA" w:rsidRPr="008B5968" w:rsidRDefault="005A27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D341AA" w:rsidRPr="008B5968" w:rsidRDefault="00D341AA" w:rsidP="00D341A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deux appels à mobilité sont effectués chaque année à l’UT (EC et BIATSS).</w:t>
      </w:r>
    </w:p>
    <w:p w:rsidR="001633AD" w:rsidRPr="008B5968" w:rsidRDefault="001633AD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D341AA" w:rsidRPr="008B5968" w:rsidRDefault="001633AD" w:rsidP="00D341AA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 xml:space="preserve">- </w:t>
      </w:r>
      <w:r w:rsidR="00EF4799" w:rsidRPr="008B5968">
        <w:rPr>
          <w:rFonts w:ascii="Work Sans" w:hAnsi="Work Sans"/>
          <w:sz w:val="24"/>
          <w:szCs w:val="20"/>
        </w:rPr>
        <w:t>à l’UT, la tendance est à l’augmentation du nombre de doctorants en mobilité à l’étranger ; l’explication tenant au fait que le</w:t>
      </w:r>
      <w:r w:rsidRPr="008B5968">
        <w:rPr>
          <w:rFonts w:ascii="Work Sans" w:hAnsi="Work Sans"/>
          <w:sz w:val="24"/>
          <w:szCs w:val="20"/>
        </w:rPr>
        <w:t xml:space="preserve"> fonctionnement </w:t>
      </w:r>
      <w:r w:rsidR="00EF4799" w:rsidRPr="008B5968">
        <w:rPr>
          <w:rFonts w:ascii="Work Sans" w:hAnsi="Work Sans"/>
          <w:sz w:val="24"/>
          <w:szCs w:val="20"/>
        </w:rPr>
        <w:t>est géré par l’établissement</w:t>
      </w:r>
      <w:r w:rsidRPr="008B5968">
        <w:rPr>
          <w:rFonts w:ascii="Work Sans" w:hAnsi="Work Sans"/>
          <w:sz w:val="24"/>
          <w:szCs w:val="20"/>
        </w:rPr>
        <w:t xml:space="preserve"> (convention cadre).</w:t>
      </w:r>
      <w:r w:rsidR="008E2F86" w:rsidRPr="008B5968">
        <w:rPr>
          <w:rFonts w:ascii="Work Sans" w:hAnsi="Work Sans"/>
          <w:sz w:val="24"/>
          <w:szCs w:val="20"/>
        </w:rPr>
        <w:t xml:space="preserve"> Par ailleurs, cela permet de bénéficier</w:t>
      </w:r>
      <w:r w:rsidR="00D341AA" w:rsidRPr="008B5968">
        <w:rPr>
          <w:rFonts w:ascii="Work Sans" w:hAnsi="Work Sans"/>
          <w:sz w:val="24"/>
          <w:szCs w:val="20"/>
        </w:rPr>
        <w:t xml:space="preserve"> de crédits doctoraux supplémentaires.</w:t>
      </w:r>
    </w:p>
    <w:p w:rsidR="00D341AA" w:rsidRPr="008B5968" w:rsidRDefault="00D341A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DC64F9" w:rsidRPr="008B5968" w:rsidRDefault="00DC64F9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DC64F9" w:rsidRPr="008B5968" w:rsidRDefault="00DC64F9" w:rsidP="00DC64F9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29 -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DC64F9" w:rsidRPr="008B5968" w:rsidRDefault="00DC64F9" w:rsidP="00DC64F9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DC64F9" w:rsidRPr="008B5968" w:rsidRDefault="00DC64F9" w:rsidP="00DC64F9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  <w:r w:rsidRPr="008B5968">
        <w:rPr>
          <w:rFonts w:ascii="Work Sans" w:hAnsi="Work Sans"/>
          <w:color w:val="000000" w:themeColor="text1"/>
          <w:sz w:val="24"/>
          <w:szCs w:val="24"/>
        </w:rPr>
        <w:t xml:space="preserve">- </w:t>
      </w:r>
      <w:r w:rsidR="00EF4799" w:rsidRPr="008B5968">
        <w:rPr>
          <w:rFonts w:ascii="Work Sans" w:hAnsi="Work Sans"/>
          <w:color w:val="000000" w:themeColor="text1"/>
          <w:sz w:val="24"/>
          <w:szCs w:val="24"/>
        </w:rPr>
        <w:t>encourager</w:t>
      </w:r>
      <w:r w:rsidR="001633AD" w:rsidRPr="008B5968">
        <w:rPr>
          <w:rFonts w:ascii="Work Sans" w:hAnsi="Work Sans"/>
          <w:color w:val="000000" w:themeColor="text1"/>
          <w:sz w:val="24"/>
          <w:szCs w:val="24"/>
        </w:rPr>
        <w:t xml:space="preserve"> davantage</w:t>
      </w:r>
      <w:r w:rsidR="00EF4799" w:rsidRPr="008B5968">
        <w:rPr>
          <w:rFonts w:ascii="Work Sans" w:hAnsi="Work Sans"/>
          <w:color w:val="000000" w:themeColor="text1"/>
          <w:sz w:val="24"/>
          <w:szCs w:val="24"/>
        </w:rPr>
        <w:t xml:space="preserve"> les possibilités de mobilité</w:t>
      </w:r>
      <w:r w:rsidR="00D341AA" w:rsidRPr="008B5968">
        <w:rPr>
          <w:rFonts w:ascii="Work Sans" w:hAnsi="Work Sans"/>
          <w:color w:val="000000" w:themeColor="text1"/>
          <w:sz w:val="24"/>
          <w:szCs w:val="24"/>
        </w:rPr>
        <w:t xml:space="preserve"> des doctorants</w:t>
      </w:r>
      <w:r w:rsidR="00EF4799" w:rsidRPr="008B5968">
        <w:rPr>
          <w:rFonts w:ascii="Work Sans" w:hAnsi="Work Sans"/>
          <w:color w:val="000000" w:themeColor="text1"/>
          <w:sz w:val="24"/>
          <w:szCs w:val="24"/>
        </w:rPr>
        <w:t xml:space="preserve"> à l’étranger</w:t>
      </w:r>
      <w:r w:rsidR="001633AD" w:rsidRPr="008B5968">
        <w:rPr>
          <w:rFonts w:ascii="Work Sans" w:hAnsi="Work Sans"/>
          <w:color w:val="000000" w:themeColor="text1"/>
          <w:sz w:val="24"/>
          <w:szCs w:val="24"/>
        </w:rPr>
        <w:t>, notamment les co-tutelles de thèse</w:t>
      </w:r>
      <w:r w:rsidR="00D341AA" w:rsidRPr="008B5968">
        <w:rPr>
          <w:rFonts w:ascii="Work Sans" w:hAnsi="Work Sans"/>
          <w:color w:val="000000" w:themeColor="text1"/>
          <w:sz w:val="24"/>
          <w:szCs w:val="24"/>
        </w:rPr>
        <w:t xml:space="preserve"> (</w:t>
      </w:r>
      <w:r w:rsidR="008E5FA6" w:rsidRPr="008B5968">
        <w:rPr>
          <w:rFonts w:ascii="Work Sans" w:hAnsi="Work Sans"/>
          <w:color w:val="000000" w:themeColor="text1"/>
          <w:sz w:val="24"/>
          <w:szCs w:val="24"/>
        </w:rPr>
        <w:t xml:space="preserve">par un </w:t>
      </w:r>
      <w:r w:rsidR="00D341AA" w:rsidRPr="008B5968">
        <w:rPr>
          <w:rFonts w:ascii="Work Sans" w:hAnsi="Work Sans"/>
          <w:color w:val="000000" w:themeColor="text1"/>
          <w:sz w:val="24"/>
          <w:szCs w:val="24"/>
        </w:rPr>
        <w:t>soutien financier supplémentaire ?).</w:t>
      </w:r>
    </w:p>
    <w:p w:rsidR="008C15CF" w:rsidRPr="008B5968" w:rsidRDefault="008C15CF" w:rsidP="00DC64F9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8C15CF" w:rsidRPr="008B5968" w:rsidRDefault="008C15CF" w:rsidP="00DC64F9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  <w:r w:rsidRPr="008B5968">
        <w:rPr>
          <w:rFonts w:ascii="Work Sans" w:hAnsi="Work Sans"/>
          <w:color w:val="000000" w:themeColor="text1"/>
          <w:sz w:val="24"/>
          <w:szCs w:val="24"/>
        </w:rPr>
        <w:t>- développer les conventions d’échange et/ou de mobilité avec les établissements étrangers pour la recherche, les stages et thèses.</w:t>
      </w:r>
    </w:p>
    <w:p w:rsidR="00D341AA" w:rsidRPr="008B5968" w:rsidRDefault="00D341AA" w:rsidP="00DC64F9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4"/>
        </w:rPr>
      </w:pPr>
    </w:p>
    <w:p w:rsidR="00D341AA" w:rsidRPr="008B5968" w:rsidRDefault="00DD7633" w:rsidP="00DD7633">
      <w:pPr>
        <w:spacing w:after="0" w:line="240" w:lineRule="auto"/>
        <w:ind w:left="357"/>
        <w:jc w:val="both"/>
        <w:rPr>
          <w:rFonts w:ascii="Work Sans" w:hAnsi="Work Sans"/>
          <w:sz w:val="24"/>
          <w:szCs w:val="24"/>
        </w:rPr>
      </w:pPr>
      <w:r w:rsidRPr="008B5968">
        <w:rPr>
          <w:rFonts w:ascii="Work Sans" w:hAnsi="Work Sans"/>
          <w:sz w:val="24"/>
          <w:szCs w:val="24"/>
        </w:rPr>
        <w:t xml:space="preserve">- </w:t>
      </w:r>
      <w:r w:rsidR="00F5676D" w:rsidRPr="008B5968">
        <w:rPr>
          <w:rFonts w:ascii="Work Sans" w:hAnsi="Work Sans"/>
          <w:sz w:val="24"/>
          <w:szCs w:val="24"/>
        </w:rPr>
        <w:t>p</w:t>
      </w:r>
      <w:r w:rsidR="00D341AA" w:rsidRPr="008B5968">
        <w:rPr>
          <w:rFonts w:ascii="Work Sans" w:hAnsi="Work Sans"/>
          <w:sz w:val="24"/>
          <w:szCs w:val="24"/>
        </w:rPr>
        <w:t>our le</w:t>
      </w:r>
      <w:r w:rsidR="00F5676D" w:rsidRPr="008B5968">
        <w:rPr>
          <w:rFonts w:ascii="Work Sans" w:hAnsi="Work Sans"/>
          <w:sz w:val="24"/>
          <w:szCs w:val="24"/>
        </w:rPr>
        <w:t>s EC,</w:t>
      </w:r>
      <w:r w:rsidR="00D341AA" w:rsidRPr="008B5968">
        <w:rPr>
          <w:rFonts w:ascii="Work Sans" w:hAnsi="Work Sans"/>
          <w:sz w:val="24"/>
          <w:szCs w:val="24"/>
        </w:rPr>
        <w:t xml:space="preserve"> valoriser et </w:t>
      </w:r>
      <w:r w:rsidR="00F5676D" w:rsidRPr="008B5968">
        <w:rPr>
          <w:rFonts w:ascii="Work Sans" w:hAnsi="Work Sans"/>
          <w:sz w:val="24"/>
          <w:szCs w:val="24"/>
        </w:rPr>
        <w:t xml:space="preserve">faire </w:t>
      </w:r>
      <w:r w:rsidR="00D341AA" w:rsidRPr="008B5968">
        <w:rPr>
          <w:rFonts w:ascii="Work Sans" w:hAnsi="Work Sans"/>
          <w:sz w:val="24"/>
          <w:szCs w:val="24"/>
        </w:rPr>
        <w:t>reconnaître les enseignements faits à l’étranger </w:t>
      </w:r>
      <w:r w:rsidR="00F5676D" w:rsidRPr="008B5968">
        <w:rPr>
          <w:rFonts w:ascii="Work Sans" w:hAnsi="Work Sans"/>
          <w:sz w:val="24"/>
          <w:szCs w:val="24"/>
        </w:rPr>
        <w:t>(possibilité de décharge/</w:t>
      </w:r>
      <w:r w:rsidR="00D341AA" w:rsidRPr="008B5968">
        <w:rPr>
          <w:rFonts w:ascii="Work Sans" w:hAnsi="Work Sans"/>
          <w:sz w:val="24"/>
          <w:szCs w:val="24"/>
        </w:rPr>
        <w:t>déduction des heures d’enseignement dans le</w:t>
      </w:r>
      <w:r w:rsidR="00F5676D" w:rsidRPr="008B5968">
        <w:rPr>
          <w:rFonts w:ascii="Work Sans" w:hAnsi="Work Sans"/>
          <w:sz w:val="24"/>
          <w:szCs w:val="24"/>
        </w:rPr>
        <w:t xml:space="preserve"> service</w:t>
      </w:r>
      <w:r w:rsidRPr="008B5968">
        <w:rPr>
          <w:rFonts w:ascii="Work Sans" w:hAnsi="Work Sans"/>
          <w:sz w:val="24"/>
          <w:szCs w:val="24"/>
        </w:rPr>
        <w:t> ?</w:t>
      </w:r>
      <w:r w:rsidR="00F5676D" w:rsidRPr="008B5968">
        <w:rPr>
          <w:rFonts w:ascii="Work Sans" w:hAnsi="Work Sans"/>
          <w:sz w:val="24"/>
          <w:szCs w:val="24"/>
        </w:rPr>
        <w:t xml:space="preserve"> à voir avec Marc DESMET)</w:t>
      </w:r>
      <w:r w:rsidRPr="008B5968">
        <w:rPr>
          <w:rFonts w:ascii="Work Sans" w:hAnsi="Work Sans"/>
          <w:sz w:val="24"/>
          <w:szCs w:val="24"/>
        </w:rPr>
        <w:t>.</w:t>
      </w:r>
      <w:r w:rsidR="00D341AA" w:rsidRPr="008B5968">
        <w:rPr>
          <w:rFonts w:ascii="Work Sans" w:hAnsi="Work Sans"/>
          <w:sz w:val="24"/>
          <w:szCs w:val="24"/>
        </w:rPr>
        <w:t xml:space="preserve"> </w:t>
      </w:r>
    </w:p>
    <w:p w:rsidR="00D341AA" w:rsidRPr="008B5968" w:rsidRDefault="00D341AA" w:rsidP="00DC64F9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DC64F9" w:rsidRPr="008B5968" w:rsidRDefault="00DC64F9" w:rsidP="00DC64F9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AE1776" w:rsidRPr="008B5968" w:rsidRDefault="009C33B6" w:rsidP="009C33B6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30 – accès aux services d’orientation pour toutes et tous :</w:t>
      </w:r>
    </w:p>
    <w:p w:rsidR="009C33B6" w:rsidRPr="008B5968" w:rsidRDefault="009C33B6" w:rsidP="009C33B6">
      <w:pPr>
        <w:ind w:left="426"/>
        <w:jc w:val="both"/>
        <w:rPr>
          <w:rFonts w:ascii="Work Sans" w:hAnsi="Work Sans"/>
          <w:sz w:val="24"/>
        </w:rPr>
      </w:pPr>
      <w:r w:rsidRPr="008B5968">
        <w:rPr>
          <w:rFonts w:ascii="Work Sans" w:hAnsi="Work Sans"/>
          <w:sz w:val="24"/>
        </w:rPr>
        <w:t>- lié aux items 25 et 28.</w:t>
      </w:r>
    </w:p>
    <w:p w:rsidR="00AE1776" w:rsidRPr="008B5968" w:rsidRDefault="00AE177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9C33B6" w:rsidRPr="008B5968" w:rsidRDefault="009C33B6" w:rsidP="009C33B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9C33B6" w:rsidRPr="008B5968" w:rsidRDefault="009C33B6" w:rsidP="009C33B6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Item 31 – droit de propriété intellectuelle : </w:t>
      </w:r>
    </w:p>
    <w:p w:rsidR="009C33B6" w:rsidRPr="008B5968" w:rsidRDefault="009C33B6" w:rsidP="009C33B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0"/>
          <w:szCs w:val="20"/>
        </w:rPr>
      </w:pPr>
    </w:p>
    <w:p w:rsidR="00AE1776" w:rsidRPr="008B5968" w:rsidRDefault="009C33B6" w:rsidP="009C33B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  <w:r w:rsidRPr="008B5968">
        <w:rPr>
          <w:rFonts w:ascii="Work Sans" w:hAnsi="Work Sans"/>
          <w:color w:val="000000" w:themeColor="text1"/>
          <w:sz w:val="24"/>
          <w:szCs w:val="20"/>
        </w:rPr>
        <w:t>- lié à l’item 5 du GT1</w:t>
      </w:r>
    </w:p>
    <w:p w:rsidR="009C33B6" w:rsidRPr="008B5968" w:rsidRDefault="009C33B6" w:rsidP="009C33B6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9C33B6" w:rsidRPr="008B5968" w:rsidRDefault="009C33B6" w:rsidP="009C33B6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32 – co-auteur et co-autrice, dresse les constats suivants : </w:t>
      </w:r>
    </w:p>
    <w:p w:rsidR="00AE1776" w:rsidRPr="008B5968" w:rsidRDefault="00AE177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AE1776" w:rsidRPr="008B5968" w:rsidRDefault="009C33B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 xml:space="preserve">- </w:t>
      </w:r>
      <w:r w:rsidR="00C07B24" w:rsidRPr="008B5968">
        <w:rPr>
          <w:rFonts w:ascii="Work Sans" w:hAnsi="Work Sans"/>
          <w:sz w:val="24"/>
          <w:szCs w:val="20"/>
        </w:rPr>
        <w:t>lié aux items 2, 3 et 5 du GT1</w:t>
      </w:r>
    </w:p>
    <w:p w:rsidR="00C07B24" w:rsidRPr="008B5968" w:rsidRDefault="00C07B24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07B24" w:rsidRPr="008B5968" w:rsidRDefault="00C07B24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 xml:space="preserve">- </w:t>
      </w:r>
      <w:r w:rsidR="00EC5168" w:rsidRPr="008B5968">
        <w:rPr>
          <w:rFonts w:ascii="Work Sans" w:hAnsi="Work Sans"/>
          <w:sz w:val="24"/>
          <w:szCs w:val="20"/>
        </w:rPr>
        <w:t xml:space="preserve">il faut opérer une distinction entre </w:t>
      </w:r>
      <w:r w:rsidR="005055F5" w:rsidRPr="008B5968">
        <w:rPr>
          <w:rFonts w:ascii="Work Sans" w:hAnsi="Work Sans"/>
          <w:sz w:val="24"/>
          <w:szCs w:val="20"/>
        </w:rPr>
        <w:t>les notions d’</w:t>
      </w:r>
      <w:r w:rsidR="00EC5168" w:rsidRPr="008B5968">
        <w:rPr>
          <w:rFonts w:ascii="Work Sans" w:hAnsi="Work Sans"/>
          <w:sz w:val="24"/>
          <w:szCs w:val="20"/>
        </w:rPr>
        <w:t>invention</w:t>
      </w:r>
      <w:r w:rsidR="005055F5" w:rsidRPr="008B5968">
        <w:rPr>
          <w:rFonts w:ascii="Work Sans" w:hAnsi="Work Sans"/>
          <w:sz w:val="24"/>
          <w:szCs w:val="20"/>
        </w:rPr>
        <w:t xml:space="preserve"> et de publication. Dans le 1</w:t>
      </w:r>
      <w:r w:rsidR="005055F5" w:rsidRPr="008B5968">
        <w:rPr>
          <w:rFonts w:ascii="Work Sans" w:hAnsi="Work Sans"/>
          <w:sz w:val="24"/>
          <w:szCs w:val="20"/>
          <w:vertAlign w:val="superscript"/>
        </w:rPr>
        <w:t>er</w:t>
      </w:r>
      <w:r w:rsidR="005055F5" w:rsidRPr="008B5968">
        <w:rPr>
          <w:rFonts w:ascii="Work Sans" w:hAnsi="Work Sans"/>
          <w:sz w:val="24"/>
          <w:szCs w:val="20"/>
        </w:rPr>
        <w:t xml:space="preserve"> cas, les résultats et brevets </w:t>
      </w:r>
      <w:r w:rsidR="00046B86" w:rsidRPr="008B5968">
        <w:rPr>
          <w:rFonts w:ascii="Work Sans" w:hAnsi="Work Sans"/>
          <w:sz w:val="24"/>
          <w:szCs w:val="20"/>
        </w:rPr>
        <w:t xml:space="preserve">constituent la suite </w:t>
      </w:r>
      <w:r w:rsidR="005055F5" w:rsidRPr="008B5968">
        <w:rPr>
          <w:rFonts w:ascii="Work Sans" w:hAnsi="Work Sans"/>
          <w:sz w:val="24"/>
          <w:szCs w:val="20"/>
        </w:rPr>
        <w:t>logique</w:t>
      </w:r>
      <w:r w:rsidR="00046B86" w:rsidRPr="008B5968">
        <w:rPr>
          <w:rFonts w:ascii="Work Sans" w:hAnsi="Work Sans"/>
          <w:sz w:val="24"/>
          <w:szCs w:val="20"/>
        </w:rPr>
        <w:t>,</w:t>
      </w:r>
      <w:r w:rsidR="005055F5" w:rsidRPr="008B5968">
        <w:rPr>
          <w:rFonts w:ascii="Work Sans" w:hAnsi="Work Sans"/>
          <w:sz w:val="24"/>
          <w:szCs w:val="20"/>
        </w:rPr>
        <w:t xml:space="preserve"> alors que dans le 2</w:t>
      </w:r>
      <w:r w:rsidR="005055F5" w:rsidRPr="008B5968">
        <w:rPr>
          <w:rFonts w:ascii="Work Sans" w:hAnsi="Work Sans"/>
          <w:sz w:val="24"/>
          <w:szCs w:val="20"/>
          <w:vertAlign w:val="superscript"/>
        </w:rPr>
        <w:t>nd</w:t>
      </w:r>
      <w:r w:rsidR="005055F5" w:rsidRPr="008B5968">
        <w:rPr>
          <w:rFonts w:ascii="Work Sans" w:hAnsi="Work Sans"/>
          <w:sz w:val="24"/>
          <w:szCs w:val="20"/>
        </w:rPr>
        <w:t xml:space="preserve"> se pose la problématique plus complexe des droits d’auteurs.</w:t>
      </w:r>
    </w:p>
    <w:p w:rsidR="005055F5" w:rsidRPr="008B5968" w:rsidRDefault="005055F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5055F5" w:rsidRPr="008B5968" w:rsidRDefault="005055F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 xml:space="preserve">- à l’UT, </w:t>
      </w:r>
      <w:r w:rsidR="00046B86" w:rsidRPr="008B5968">
        <w:rPr>
          <w:rFonts w:ascii="Work Sans" w:hAnsi="Work Sans"/>
          <w:sz w:val="24"/>
          <w:szCs w:val="20"/>
        </w:rPr>
        <w:t xml:space="preserve">c’est </w:t>
      </w:r>
      <w:r w:rsidRPr="008B5968">
        <w:rPr>
          <w:rFonts w:ascii="Work Sans" w:hAnsi="Work Sans"/>
          <w:sz w:val="24"/>
          <w:szCs w:val="20"/>
        </w:rPr>
        <w:t xml:space="preserve">le SPIV (Service Partenariats Innovations et Valorisation) </w:t>
      </w:r>
      <w:r w:rsidR="00046B86" w:rsidRPr="008B5968">
        <w:rPr>
          <w:rFonts w:ascii="Work Sans" w:hAnsi="Work Sans"/>
          <w:sz w:val="24"/>
          <w:szCs w:val="20"/>
        </w:rPr>
        <w:t xml:space="preserve">qui </w:t>
      </w:r>
      <w:r w:rsidRPr="008B5968">
        <w:rPr>
          <w:rFonts w:ascii="Work Sans" w:hAnsi="Work Sans"/>
          <w:sz w:val="24"/>
          <w:szCs w:val="20"/>
        </w:rPr>
        <w:t>informe/conseille par rapport à la politique de valorisation et de protection en place</w:t>
      </w:r>
      <w:r w:rsidR="00046B86" w:rsidRPr="008B5968">
        <w:rPr>
          <w:rFonts w:ascii="Work Sans" w:hAnsi="Work Sans"/>
          <w:sz w:val="24"/>
          <w:szCs w:val="20"/>
        </w:rPr>
        <w:t xml:space="preserve"> ; des formations sont régulièrement dispensées dans les laboratoires aux EC et aux doctorants (avec obtention de CD). Cependant, rien n’est prévu en matière de </w:t>
      </w:r>
      <w:r w:rsidRPr="008B5968">
        <w:rPr>
          <w:rFonts w:ascii="Work Sans" w:hAnsi="Work Sans"/>
          <w:sz w:val="24"/>
          <w:szCs w:val="20"/>
        </w:rPr>
        <w:t>droits d’auteurs.</w:t>
      </w:r>
    </w:p>
    <w:p w:rsidR="00046B86" w:rsidRPr="008B5968" w:rsidRDefault="00046B8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046B86" w:rsidRPr="008B5968" w:rsidRDefault="00046B8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- la DAJ ne s’occupe que des questions de droit public.</w:t>
      </w:r>
    </w:p>
    <w:p w:rsidR="00AE1776" w:rsidRPr="008B5968" w:rsidRDefault="00AE177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AE1776" w:rsidRPr="008B5968" w:rsidRDefault="00AE177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5055F5" w:rsidRPr="008B5968" w:rsidRDefault="005055F5" w:rsidP="005055F5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32 -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5055F5" w:rsidRPr="008B5968" w:rsidRDefault="005055F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5055F5" w:rsidRPr="008B5968" w:rsidRDefault="005055F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- assurer une meilleure coordination / collaboration entre le SPIV et le référent intégrité scientifique</w:t>
      </w:r>
      <w:r w:rsidR="00360623" w:rsidRPr="008B5968">
        <w:rPr>
          <w:rFonts w:ascii="Work Sans" w:hAnsi="Work Sans"/>
          <w:sz w:val="24"/>
          <w:szCs w:val="20"/>
        </w:rPr>
        <w:t>.</w:t>
      </w:r>
    </w:p>
    <w:p w:rsidR="00046B86" w:rsidRPr="008B5968" w:rsidRDefault="00046B8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046B86" w:rsidRPr="008B5968" w:rsidRDefault="00046B8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- recruter un agent spécialiste du droit privé à la DAJ</w:t>
      </w:r>
      <w:r w:rsidR="009D32D7" w:rsidRPr="008B5968">
        <w:rPr>
          <w:rFonts w:ascii="Work Sans" w:hAnsi="Work Sans"/>
          <w:sz w:val="24"/>
          <w:szCs w:val="20"/>
        </w:rPr>
        <w:t>, afin de s’occuper de la question des droits d’auteurs.</w:t>
      </w:r>
    </w:p>
    <w:p w:rsidR="009D32D7" w:rsidRPr="008B5968" w:rsidRDefault="009D32D7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9D32D7" w:rsidRPr="008B5968" w:rsidRDefault="009D32D7" w:rsidP="009D32D7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9D32D7" w:rsidRPr="008B5968" w:rsidRDefault="009D32D7" w:rsidP="009D32D7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</w:t>
      </w:r>
      <w:r w:rsidR="00EF2C64" w:rsidRPr="008B5968">
        <w:rPr>
          <w:rFonts w:ascii="Work Sans" w:hAnsi="Work Sans"/>
          <w:b/>
          <w:sz w:val="24"/>
          <w:szCs w:val="20"/>
          <w:u w:val="single"/>
        </w:rPr>
        <w:t>33</w:t>
      </w:r>
      <w:r w:rsidRPr="008B5968">
        <w:rPr>
          <w:rFonts w:ascii="Work Sans" w:hAnsi="Work Sans"/>
          <w:b/>
          <w:sz w:val="24"/>
          <w:szCs w:val="20"/>
          <w:u w:val="single"/>
        </w:rPr>
        <w:t xml:space="preserve"> – </w:t>
      </w:r>
      <w:r w:rsidR="00EF2C64" w:rsidRPr="008B5968">
        <w:rPr>
          <w:rFonts w:ascii="Work Sans" w:hAnsi="Work Sans"/>
          <w:b/>
          <w:sz w:val="24"/>
          <w:szCs w:val="20"/>
          <w:u w:val="single"/>
        </w:rPr>
        <w:t>valorisation de l’enseignement</w:t>
      </w:r>
      <w:r w:rsidRPr="008B5968">
        <w:rPr>
          <w:rFonts w:ascii="Work Sans" w:hAnsi="Work Sans"/>
          <w:b/>
          <w:sz w:val="24"/>
          <w:szCs w:val="20"/>
          <w:u w:val="single"/>
        </w:rPr>
        <w:t xml:space="preserve">, dresse les constats suivants : </w:t>
      </w:r>
    </w:p>
    <w:p w:rsidR="009D32D7" w:rsidRPr="008B5968" w:rsidRDefault="009D32D7" w:rsidP="009D32D7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9D32D7" w:rsidRPr="008B5968" w:rsidRDefault="009D32D7" w:rsidP="009D32D7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 xml:space="preserve">- </w:t>
      </w:r>
      <w:r w:rsidR="001E2498" w:rsidRPr="008B5968">
        <w:rPr>
          <w:rFonts w:ascii="Work Sans" w:hAnsi="Work Sans"/>
          <w:sz w:val="24"/>
          <w:szCs w:val="20"/>
        </w:rPr>
        <w:t xml:space="preserve">l’UT applique la réglementation nationale </w:t>
      </w:r>
      <w:r w:rsidR="00D41374" w:rsidRPr="008B5968">
        <w:rPr>
          <w:rFonts w:ascii="Work Sans" w:hAnsi="Work Sans"/>
          <w:sz w:val="24"/>
          <w:szCs w:val="20"/>
        </w:rPr>
        <w:t xml:space="preserve">en ce qui concerne l’organisation des </w:t>
      </w:r>
      <w:r w:rsidR="001E2498" w:rsidRPr="008B5968">
        <w:rPr>
          <w:rFonts w:ascii="Work Sans" w:hAnsi="Work Sans"/>
          <w:sz w:val="24"/>
          <w:szCs w:val="20"/>
        </w:rPr>
        <w:t>enseignement</w:t>
      </w:r>
      <w:r w:rsidR="002F4941" w:rsidRPr="008B5968">
        <w:rPr>
          <w:rFonts w:ascii="Work Sans" w:hAnsi="Work Sans"/>
          <w:sz w:val="24"/>
          <w:szCs w:val="20"/>
        </w:rPr>
        <w:t>s et l’attribution des volumes horaires</w:t>
      </w:r>
      <w:r w:rsidR="00D41374" w:rsidRPr="008B5968">
        <w:rPr>
          <w:rFonts w:ascii="Work Sans" w:hAnsi="Work Sans"/>
          <w:sz w:val="24"/>
          <w:szCs w:val="20"/>
        </w:rPr>
        <w:t>.</w:t>
      </w:r>
    </w:p>
    <w:p w:rsidR="009D32D7" w:rsidRPr="008B5968" w:rsidRDefault="009D32D7" w:rsidP="009D32D7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9D32D7" w:rsidRPr="008B5968" w:rsidRDefault="009D32D7" w:rsidP="009D32D7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9D32D7" w:rsidRPr="008B5968" w:rsidRDefault="009D32D7" w:rsidP="009D32D7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Item </w:t>
      </w:r>
      <w:r w:rsidR="00EF2C64" w:rsidRPr="008B5968">
        <w:rPr>
          <w:rFonts w:ascii="Work Sans" w:hAnsi="Work Sans"/>
          <w:b/>
          <w:sz w:val="24"/>
          <w:szCs w:val="20"/>
          <w:u w:val="single"/>
        </w:rPr>
        <w:t>33</w:t>
      </w:r>
      <w:r w:rsidRPr="008B5968">
        <w:rPr>
          <w:rFonts w:ascii="Work Sans" w:hAnsi="Work Sans"/>
          <w:b/>
          <w:sz w:val="24"/>
          <w:szCs w:val="20"/>
          <w:u w:val="single"/>
        </w:rPr>
        <w:t xml:space="preserve">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9D32D7" w:rsidRPr="008B5968" w:rsidRDefault="009D32D7" w:rsidP="009D32D7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C63E46" w:rsidRPr="008B5968" w:rsidRDefault="001E2498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 xml:space="preserve">- </w:t>
      </w:r>
      <w:r w:rsidR="00C63E46" w:rsidRPr="008B5968">
        <w:rPr>
          <w:rFonts w:ascii="Work Sans" w:hAnsi="Work Sans"/>
          <w:sz w:val="24"/>
          <w:szCs w:val="20"/>
        </w:rPr>
        <w:t>revoir et adapter la liste des fonctions ou attributions ouvrant droit à une décharge d’enseignement : jeunes MCF ? encadrement d’un jeune chercheur ?</w:t>
      </w:r>
    </w:p>
    <w:p w:rsidR="00C63E46" w:rsidRPr="008B5968" w:rsidRDefault="00C63E4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9D32D7" w:rsidRPr="008B5968" w:rsidRDefault="00C63E46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 xml:space="preserve">- </w:t>
      </w:r>
      <w:r w:rsidR="00D41374" w:rsidRPr="008B5968">
        <w:rPr>
          <w:rFonts w:ascii="Work Sans" w:hAnsi="Work Sans"/>
          <w:sz w:val="24"/>
          <w:szCs w:val="20"/>
        </w:rPr>
        <w:t>encourager et valoriser le travail administratif effectué par les EC.</w:t>
      </w:r>
    </w:p>
    <w:p w:rsidR="005055F5" w:rsidRPr="008B5968" w:rsidRDefault="005055F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AB19C8" w:rsidRPr="008B5968" w:rsidRDefault="00AB19C8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4256DA" w:rsidRPr="008B5968" w:rsidRDefault="004256DA" w:rsidP="004256DA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34 – plaintes et recours, dresse les constats suivants : </w:t>
      </w:r>
    </w:p>
    <w:p w:rsidR="004256DA" w:rsidRPr="008B5968" w:rsidRDefault="004256DA" w:rsidP="004256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4256DA" w:rsidRPr="008B5968" w:rsidRDefault="004256DA" w:rsidP="004256DA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 xml:space="preserve">- l’UT a nommé un certain nombre de personnes vers qui se tourner en cas de difficulté : référent déontologue (également Médiateur), référent racisme, référent égalité des personnels, référent éthique, </w:t>
      </w:r>
      <w:r w:rsidR="00315142" w:rsidRPr="008B5968">
        <w:rPr>
          <w:rFonts w:ascii="Work Sans" w:hAnsi="Work Sans"/>
          <w:sz w:val="24"/>
          <w:szCs w:val="20"/>
        </w:rPr>
        <w:t xml:space="preserve">référent laïcité, psychologue du travail, </w:t>
      </w:r>
      <w:r w:rsidRPr="008B5968">
        <w:rPr>
          <w:rFonts w:ascii="Work Sans" w:hAnsi="Work Sans"/>
          <w:sz w:val="24"/>
          <w:szCs w:val="20"/>
        </w:rPr>
        <w:t xml:space="preserve">etc </w:t>
      </w:r>
      <w:proofErr w:type="gramStart"/>
      <w:r w:rsidRPr="008B5968">
        <w:rPr>
          <w:rFonts w:ascii="Work Sans" w:hAnsi="Work Sans"/>
          <w:sz w:val="24"/>
          <w:szCs w:val="20"/>
        </w:rPr>
        <w:t>… .</w:t>
      </w:r>
      <w:proofErr w:type="gramEnd"/>
    </w:p>
    <w:p w:rsidR="004256DA" w:rsidRPr="008B5968" w:rsidRDefault="004256DA" w:rsidP="004256DA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4256DA" w:rsidRPr="008B5968" w:rsidRDefault="004256DA" w:rsidP="004256DA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- un protocole « violence » est également en place avec des procédures identifiées : violence, discrimination, signalement de harcèlement.</w:t>
      </w:r>
    </w:p>
    <w:p w:rsidR="00716647" w:rsidRPr="008B5968" w:rsidRDefault="00716647" w:rsidP="004256DA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4256DA" w:rsidRPr="008B5968" w:rsidRDefault="004256DA" w:rsidP="004256DA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34 -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005AC8" w:rsidRPr="008B5968" w:rsidRDefault="00005AC8" w:rsidP="00005AC8">
      <w:pPr>
        <w:pStyle w:val="Paragraphedeliste"/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</w:p>
    <w:p w:rsidR="004256DA" w:rsidRPr="008B5968" w:rsidRDefault="004256DA" w:rsidP="004256DA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- mettre à jour en ligne la procédure signalement de harcèlement.</w:t>
      </w:r>
    </w:p>
    <w:p w:rsidR="00315142" w:rsidRPr="008B5968" w:rsidRDefault="00315142" w:rsidP="004256DA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315142" w:rsidRPr="008B5968" w:rsidRDefault="00315142" w:rsidP="00315142">
      <w:pPr>
        <w:pStyle w:val="Paragraphedeliste"/>
        <w:numPr>
          <w:ilvl w:val="0"/>
          <w:numId w:val="1"/>
        </w:numPr>
        <w:jc w:val="both"/>
        <w:rPr>
          <w:rFonts w:ascii="Work Sans" w:hAnsi="Work Sans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 xml:space="preserve">L’analyse de l’item 35 – participation aux organes de décision, dresse les constats suivants : </w:t>
      </w:r>
    </w:p>
    <w:p w:rsidR="00315142" w:rsidRPr="008B5968" w:rsidRDefault="00315142" w:rsidP="00315142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716647" w:rsidRPr="008B5968" w:rsidRDefault="00315142" w:rsidP="00315142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-</w:t>
      </w:r>
      <w:r w:rsidR="00716647" w:rsidRPr="008B5968">
        <w:rPr>
          <w:rFonts w:ascii="Work Sans" w:hAnsi="Work Sans"/>
          <w:sz w:val="24"/>
          <w:szCs w:val="20"/>
        </w:rPr>
        <w:t xml:space="preserve"> comme prévu par la réglementation nationale, tout personnel est susceptible de se porter candidat et d’être élu dans les différents conseils et comités de l’UT.</w:t>
      </w:r>
    </w:p>
    <w:p w:rsidR="00716647" w:rsidRPr="008B5968" w:rsidRDefault="00716647" w:rsidP="00315142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315142" w:rsidRPr="008B5968" w:rsidRDefault="00716647" w:rsidP="00315142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- les organes peuvent néanmoins varier et être spécifiques selon le statut et l’appartenance (titulaires, contractuels, doctorants, etc …).</w:t>
      </w:r>
    </w:p>
    <w:p w:rsidR="00315142" w:rsidRPr="008B5968" w:rsidRDefault="00315142" w:rsidP="00315142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315142" w:rsidRPr="008B5968" w:rsidRDefault="00315142" w:rsidP="00315142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315142" w:rsidRPr="008B5968" w:rsidRDefault="00315142" w:rsidP="00315142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Item 35 - Les écarts décelés et les propositions d’action(s) :</w:t>
      </w:r>
      <w:r w:rsidRPr="008B5968">
        <w:rPr>
          <w:rFonts w:ascii="Work Sans" w:hAnsi="Work Sans"/>
          <w:sz w:val="24"/>
          <w:szCs w:val="20"/>
        </w:rPr>
        <w:t xml:space="preserve"> </w:t>
      </w:r>
    </w:p>
    <w:p w:rsidR="00315142" w:rsidRPr="008B5968" w:rsidRDefault="00315142" w:rsidP="00315142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315142" w:rsidRPr="008B5968" w:rsidRDefault="00315142" w:rsidP="00315142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-</w:t>
      </w:r>
      <w:r w:rsidR="00716647" w:rsidRPr="008B5968">
        <w:rPr>
          <w:rFonts w:ascii="Work Sans" w:hAnsi="Work Sans"/>
          <w:sz w:val="24"/>
          <w:szCs w:val="20"/>
        </w:rPr>
        <w:t xml:space="preserve"> néant.</w:t>
      </w:r>
    </w:p>
    <w:p w:rsidR="00315142" w:rsidRPr="008B5968" w:rsidRDefault="00315142" w:rsidP="004256DA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4256DA" w:rsidRPr="008B5968" w:rsidRDefault="004256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4256DA" w:rsidRPr="008B5968" w:rsidRDefault="004256D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color w:val="FF0000"/>
          <w:sz w:val="20"/>
          <w:szCs w:val="20"/>
        </w:rPr>
      </w:pPr>
    </w:p>
    <w:p w:rsidR="00600E81" w:rsidRPr="008B5968" w:rsidRDefault="00FE314B" w:rsidP="00600E81">
      <w:pPr>
        <w:pStyle w:val="Paragraphedeliste"/>
        <w:numPr>
          <w:ilvl w:val="0"/>
          <w:numId w:val="1"/>
        </w:numPr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b/>
          <w:sz w:val="24"/>
          <w:szCs w:val="20"/>
          <w:u w:val="single"/>
        </w:rPr>
        <w:t>Fin de réunion et suite :</w:t>
      </w:r>
      <w:r w:rsidRPr="008B5968">
        <w:rPr>
          <w:rFonts w:ascii="Work Sans" w:hAnsi="Work Sans"/>
          <w:b/>
          <w:sz w:val="24"/>
          <w:szCs w:val="20"/>
        </w:rPr>
        <w:t xml:space="preserve"> </w:t>
      </w:r>
      <w:r w:rsidR="00600E81" w:rsidRPr="008B5968">
        <w:rPr>
          <w:rFonts w:ascii="Work Sans" w:hAnsi="Work Sans"/>
          <w:sz w:val="24"/>
          <w:szCs w:val="20"/>
        </w:rPr>
        <w:t xml:space="preserve">l’ensemble des items ont été passés en revue et discutés ; il s’agissait donc aujourd’hui de la dernière réunion du groupe de travail n° 3. </w:t>
      </w:r>
    </w:p>
    <w:p w:rsidR="00600E81" w:rsidRPr="008B5968" w:rsidRDefault="00600E81" w:rsidP="00600E81">
      <w:pPr>
        <w:spacing w:after="0" w:line="240" w:lineRule="auto"/>
        <w:ind w:left="-3"/>
        <w:jc w:val="both"/>
        <w:rPr>
          <w:rFonts w:ascii="Work Sans" w:hAnsi="Work Sans"/>
          <w:sz w:val="24"/>
          <w:szCs w:val="20"/>
        </w:rPr>
      </w:pPr>
    </w:p>
    <w:p w:rsidR="00600E81" w:rsidRPr="00600E81" w:rsidRDefault="00600E81" w:rsidP="00600E81">
      <w:pPr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8B5968">
        <w:rPr>
          <w:rFonts w:ascii="Work Sans" w:hAnsi="Work Sans"/>
          <w:sz w:val="24"/>
          <w:szCs w:val="20"/>
        </w:rPr>
        <w:t>La restitution de l’ensemble du travail des différents GT est prévue lors du Comité de Pilotage Stratégique du 28/11 à 10h30 – salle des actes de l’UFR Médecine.</w:t>
      </w:r>
      <w:bookmarkStart w:id="0" w:name="_GoBack"/>
      <w:bookmarkEnd w:id="0"/>
    </w:p>
    <w:p w:rsidR="0078679B" w:rsidRDefault="0078679B" w:rsidP="00600E81">
      <w:pPr>
        <w:pStyle w:val="Paragraphedeliste"/>
        <w:spacing w:line="240" w:lineRule="auto"/>
        <w:ind w:left="360"/>
        <w:jc w:val="both"/>
        <w:rPr>
          <w:rFonts w:ascii="Work Sans" w:hAnsi="Work Sans"/>
          <w:sz w:val="24"/>
          <w:szCs w:val="20"/>
        </w:rPr>
      </w:pPr>
    </w:p>
    <w:p w:rsidR="00DC64F9" w:rsidRDefault="00DC64F9" w:rsidP="00600E81">
      <w:pPr>
        <w:pStyle w:val="Paragraphedeliste"/>
        <w:spacing w:line="240" w:lineRule="auto"/>
        <w:ind w:left="360"/>
        <w:jc w:val="both"/>
        <w:rPr>
          <w:rFonts w:ascii="Work Sans" w:hAnsi="Work Sans"/>
          <w:sz w:val="24"/>
          <w:szCs w:val="20"/>
        </w:rPr>
      </w:pPr>
    </w:p>
    <w:p w:rsidR="00DC64F9" w:rsidRPr="00FE314B" w:rsidRDefault="00DC64F9" w:rsidP="00600E81">
      <w:pPr>
        <w:pStyle w:val="Paragraphedeliste"/>
        <w:spacing w:line="240" w:lineRule="auto"/>
        <w:ind w:left="360"/>
        <w:jc w:val="both"/>
        <w:rPr>
          <w:rFonts w:ascii="Work Sans" w:hAnsi="Work Sans"/>
          <w:sz w:val="24"/>
          <w:szCs w:val="20"/>
        </w:rPr>
      </w:pPr>
    </w:p>
    <w:sectPr w:rsidR="00DC64F9" w:rsidRPr="00FE314B" w:rsidSect="00CE4161">
      <w:pgSz w:w="11906" w:h="16838"/>
      <w:pgMar w:top="680" w:right="1418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568"/>
    <w:multiLevelType w:val="hybridMultilevel"/>
    <w:tmpl w:val="5E846FE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53B51"/>
    <w:multiLevelType w:val="hybridMultilevel"/>
    <w:tmpl w:val="C9DEC98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7A5A35"/>
    <w:multiLevelType w:val="hybridMultilevel"/>
    <w:tmpl w:val="E87800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B4311"/>
    <w:multiLevelType w:val="hybridMultilevel"/>
    <w:tmpl w:val="4EBE25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667E4"/>
    <w:multiLevelType w:val="hybridMultilevel"/>
    <w:tmpl w:val="6F46734C"/>
    <w:lvl w:ilvl="0" w:tplc="08F4BCAA">
      <w:start w:val="10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E627C7D"/>
    <w:multiLevelType w:val="hybridMultilevel"/>
    <w:tmpl w:val="27C4E1A2"/>
    <w:lvl w:ilvl="0" w:tplc="FD7E6FB0">
      <w:numFmt w:val="bullet"/>
      <w:lvlText w:val="-"/>
      <w:lvlJc w:val="left"/>
      <w:pPr>
        <w:ind w:left="92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37055D"/>
    <w:multiLevelType w:val="hybridMultilevel"/>
    <w:tmpl w:val="8BCC8B34"/>
    <w:lvl w:ilvl="0" w:tplc="A7D40FCC">
      <w:start w:val="2"/>
      <w:numFmt w:val="bullet"/>
      <w:lvlText w:val="-"/>
      <w:lvlJc w:val="left"/>
      <w:pPr>
        <w:ind w:left="77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D1E119E"/>
    <w:multiLevelType w:val="hybridMultilevel"/>
    <w:tmpl w:val="2DA0C35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744DB4C">
      <w:numFmt w:val="bullet"/>
      <w:lvlText w:val="-"/>
      <w:lvlJc w:val="left"/>
      <w:pPr>
        <w:ind w:left="2007" w:hanging="360"/>
      </w:pPr>
      <w:rPr>
        <w:rFonts w:ascii="Work Sans" w:eastAsiaTheme="minorHAnsi" w:hAnsi="Work San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ED7B82"/>
    <w:multiLevelType w:val="hybridMultilevel"/>
    <w:tmpl w:val="AE9C1C32"/>
    <w:lvl w:ilvl="0" w:tplc="024EBEFE">
      <w:start w:val="2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96B82"/>
    <w:multiLevelType w:val="hybridMultilevel"/>
    <w:tmpl w:val="3D4035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5"/>
    <w:rsid w:val="00005248"/>
    <w:rsid w:val="00005AC8"/>
    <w:rsid w:val="00006177"/>
    <w:rsid w:val="00010C72"/>
    <w:rsid w:val="000131E3"/>
    <w:rsid w:val="00014660"/>
    <w:rsid w:val="00027CFB"/>
    <w:rsid w:val="00034488"/>
    <w:rsid w:val="000356E7"/>
    <w:rsid w:val="00046B86"/>
    <w:rsid w:val="000603DF"/>
    <w:rsid w:val="000631CF"/>
    <w:rsid w:val="00073F79"/>
    <w:rsid w:val="000769D4"/>
    <w:rsid w:val="000804AE"/>
    <w:rsid w:val="00080541"/>
    <w:rsid w:val="000857F8"/>
    <w:rsid w:val="00091CDB"/>
    <w:rsid w:val="00097CE5"/>
    <w:rsid w:val="000B2B6B"/>
    <w:rsid w:val="000B311D"/>
    <w:rsid w:val="000B49C0"/>
    <w:rsid w:val="000C2EAE"/>
    <w:rsid w:val="000D608B"/>
    <w:rsid w:val="000D67FF"/>
    <w:rsid w:val="000E11A5"/>
    <w:rsid w:val="000F039A"/>
    <w:rsid w:val="000F12AD"/>
    <w:rsid w:val="0010073A"/>
    <w:rsid w:val="00106DAD"/>
    <w:rsid w:val="001134F6"/>
    <w:rsid w:val="00116899"/>
    <w:rsid w:val="00117364"/>
    <w:rsid w:val="00121586"/>
    <w:rsid w:val="0012629A"/>
    <w:rsid w:val="00132C7A"/>
    <w:rsid w:val="001464A6"/>
    <w:rsid w:val="00154BF4"/>
    <w:rsid w:val="001633AD"/>
    <w:rsid w:val="00170327"/>
    <w:rsid w:val="001811D6"/>
    <w:rsid w:val="001922C6"/>
    <w:rsid w:val="0019602A"/>
    <w:rsid w:val="001A39A2"/>
    <w:rsid w:val="001A7622"/>
    <w:rsid w:val="001B71AF"/>
    <w:rsid w:val="001C6AB7"/>
    <w:rsid w:val="001C6B64"/>
    <w:rsid w:val="001D5A26"/>
    <w:rsid w:val="001D5FFA"/>
    <w:rsid w:val="001D735F"/>
    <w:rsid w:val="001E2498"/>
    <w:rsid w:val="00206805"/>
    <w:rsid w:val="00211E98"/>
    <w:rsid w:val="00215B7A"/>
    <w:rsid w:val="00226C9A"/>
    <w:rsid w:val="00236BC2"/>
    <w:rsid w:val="00244399"/>
    <w:rsid w:val="0024447B"/>
    <w:rsid w:val="00247902"/>
    <w:rsid w:val="002503DA"/>
    <w:rsid w:val="002553FC"/>
    <w:rsid w:val="00274CF0"/>
    <w:rsid w:val="002750A4"/>
    <w:rsid w:val="002B14B4"/>
    <w:rsid w:val="002C5C7B"/>
    <w:rsid w:val="002D20FF"/>
    <w:rsid w:val="002D61C0"/>
    <w:rsid w:val="002E342A"/>
    <w:rsid w:val="002E43EC"/>
    <w:rsid w:val="002F4941"/>
    <w:rsid w:val="00300D48"/>
    <w:rsid w:val="00315142"/>
    <w:rsid w:val="00331A6D"/>
    <w:rsid w:val="00341153"/>
    <w:rsid w:val="0034290C"/>
    <w:rsid w:val="003515D5"/>
    <w:rsid w:val="0035603B"/>
    <w:rsid w:val="00356280"/>
    <w:rsid w:val="00360623"/>
    <w:rsid w:val="00363559"/>
    <w:rsid w:val="003664AF"/>
    <w:rsid w:val="00376671"/>
    <w:rsid w:val="00376C15"/>
    <w:rsid w:val="00380C6C"/>
    <w:rsid w:val="00382C0D"/>
    <w:rsid w:val="003835C2"/>
    <w:rsid w:val="003A1B95"/>
    <w:rsid w:val="003B0CC6"/>
    <w:rsid w:val="003B467C"/>
    <w:rsid w:val="003C2CFD"/>
    <w:rsid w:val="003C7E44"/>
    <w:rsid w:val="003D2959"/>
    <w:rsid w:val="003E7AA2"/>
    <w:rsid w:val="003F48DC"/>
    <w:rsid w:val="003F5195"/>
    <w:rsid w:val="0040314D"/>
    <w:rsid w:val="00410CC7"/>
    <w:rsid w:val="00412032"/>
    <w:rsid w:val="00417A22"/>
    <w:rsid w:val="004256DA"/>
    <w:rsid w:val="004310F8"/>
    <w:rsid w:val="00442B48"/>
    <w:rsid w:val="00444F76"/>
    <w:rsid w:val="0045645A"/>
    <w:rsid w:val="00467A31"/>
    <w:rsid w:val="00470271"/>
    <w:rsid w:val="004748EA"/>
    <w:rsid w:val="004877A5"/>
    <w:rsid w:val="004A70CE"/>
    <w:rsid w:val="004B0F53"/>
    <w:rsid w:val="004B5B34"/>
    <w:rsid w:val="004C09E6"/>
    <w:rsid w:val="004C450F"/>
    <w:rsid w:val="004D79E9"/>
    <w:rsid w:val="004F379B"/>
    <w:rsid w:val="005055F5"/>
    <w:rsid w:val="00506978"/>
    <w:rsid w:val="00546CA5"/>
    <w:rsid w:val="005560D8"/>
    <w:rsid w:val="005726FE"/>
    <w:rsid w:val="00573671"/>
    <w:rsid w:val="00576700"/>
    <w:rsid w:val="00584DF1"/>
    <w:rsid w:val="005938D7"/>
    <w:rsid w:val="005958E3"/>
    <w:rsid w:val="005A0F03"/>
    <w:rsid w:val="005A27DA"/>
    <w:rsid w:val="005B3BF3"/>
    <w:rsid w:val="005C6CB3"/>
    <w:rsid w:val="005C7B88"/>
    <w:rsid w:val="005D5DB6"/>
    <w:rsid w:val="00600E81"/>
    <w:rsid w:val="00607EDB"/>
    <w:rsid w:val="00613CBC"/>
    <w:rsid w:val="00660822"/>
    <w:rsid w:val="00663132"/>
    <w:rsid w:val="006766C2"/>
    <w:rsid w:val="00696C0F"/>
    <w:rsid w:val="006A54CA"/>
    <w:rsid w:val="006C3337"/>
    <w:rsid w:val="006C7104"/>
    <w:rsid w:val="006D320F"/>
    <w:rsid w:val="006D5DDF"/>
    <w:rsid w:val="006D6262"/>
    <w:rsid w:val="006D6413"/>
    <w:rsid w:val="006E598A"/>
    <w:rsid w:val="006E6E08"/>
    <w:rsid w:val="00716647"/>
    <w:rsid w:val="0071771F"/>
    <w:rsid w:val="00727035"/>
    <w:rsid w:val="00727565"/>
    <w:rsid w:val="007346AF"/>
    <w:rsid w:val="007360B0"/>
    <w:rsid w:val="007471DF"/>
    <w:rsid w:val="00752B3F"/>
    <w:rsid w:val="007600AF"/>
    <w:rsid w:val="00762E6C"/>
    <w:rsid w:val="00764BD4"/>
    <w:rsid w:val="0076619B"/>
    <w:rsid w:val="0078053C"/>
    <w:rsid w:val="00785F60"/>
    <w:rsid w:val="0078679B"/>
    <w:rsid w:val="00786DFF"/>
    <w:rsid w:val="00791C4E"/>
    <w:rsid w:val="00792162"/>
    <w:rsid w:val="007A4502"/>
    <w:rsid w:val="007A5D00"/>
    <w:rsid w:val="007B35F5"/>
    <w:rsid w:val="007B3BD0"/>
    <w:rsid w:val="007C3FEB"/>
    <w:rsid w:val="007D73B9"/>
    <w:rsid w:val="007E2CDD"/>
    <w:rsid w:val="007E6D6E"/>
    <w:rsid w:val="00807B3D"/>
    <w:rsid w:val="00807DB6"/>
    <w:rsid w:val="00807DCA"/>
    <w:rsid w:val="0081510F"/>
    <w:rsid w:val="00815171"/>
    <w:rsid w:val="00816F0A"/>
    <w:rsid w:val="008172C2"/>
    <w:rsid w:val="00830F6C"/>
    <w:rsid w:val="0083538F"/>
    <w:rsid w:val="008377C0"/>
    <w:rsid w:val="008402F1"/>
    <w:rsid w:val="00861A8C"/>
    <w:rsid w:val="00867955"/>
    <w:rsid w:val="008721BF"/>
    <w:rsid w:val="00874043"/>
    <w:rsid w:val="008741F9"/>
    <w:rsid w:val="008755F9"/>
    <w:rsid w:val="008805AA"/>
    <w:rsid w:val="0089443E"/>
    <w:rsid w:val="008A37E1"/>
    <w:rsid w:val="008B5968"/>
    <w:rsid w:val="008C15CF"/>
    <w:rsid w:val="008C35B2"/>
    <w:rsid w:val="008C6673"/>
    <w:rsid w:val="008E2F86"/>
    <w:rsid w:val="008E5FA6"/>
    <w:rsid w:val="008F6FAF"/>
    <w:rsid w:val="009043C2"/>
    <w:rsid w:val="00910219"/>
    <w:rsid w:val="00917C0D"/>
    <w:rsid w:val="009217D8"/>
    <w:rsid w:val="00926FD5"/>
    <w:rsid w:val="0092790B"/>
    <w:rsid w:val="0093127B"/>
    <w:rsid w:val="009339F0"/>
    <w:rsid w:val="009358CC"/>
    <w:rsid w:val="00937B9D"/>
    <w:rsid w:val="00937BD8"/>
    <w:rsid w:val="00960F6D"/>
    <w:rsid w:val="00967689"/>
    <w:rsid w:val="00994E63"/>
    <w:rsid w:val="009B0347"/>
    <w:rsid w:val="009C25B9"/>
    <w:rsid w:val="009C265C"/>
    <w:rsid w:val="009C33B6"/>
    <w:rsid w:val="009D32D7"/>
    <w:rsid w:val="009D5E84"/>
    <w:rsid w:val="009E3CD1"/>
    <w:rsid w:val="009E479D"/>
    <w:rsid w:val="009E6E02"/>
    <w:rsid w:val="00A0410D"/>
    <w:rsid w:val="00A05881"/>
    <w:rsid w:val="00A05908"/>
    <w:rsid w:val="00A12006"/>
    <w:rsid w:val="00A22302"/>
    <w:rsid w:val="00A26727"/>
    <w:rsid w:val="00A318EB"/>
    <w:rsid w:val="00A47F92"/>
    <w:rsid w:val="00A54075"/>
    <w:rsid w:val="00A7345A"/>
    <w:rsid w:val="00A815F1"/>
    <w:rsid w:val="00A8258C"/>
    <w:rsid w:val="00A8279A"/>
    <w:rsid w:val="00A83D4A"/>
    <w:rsid w:val="00A861E9"/>
    <w:rsid w:val="00A94031"/>
    <w:rsid w:val="00A942AA"/>
    <w:rsid w:val="00A97E2E"/>
    <w:rsid w:val="00AB19C8"/>
    <w:rsid w:val="00AB34FB"/>
    <w:rsid w:val="00AB5900"/>
    <w:rsid w:val="00AC3C18"/>
    <w:rsid w:val="00AD134F"/>
    <w:rsid w:val="00AD6810"/>
    <w:rsid w:val="00AD695A"/>
    <w:rsid w:val="00AE1776"/>
    <w:rsid w:val="00AE6313"/>
    <w:rsid w:val="00AF5FA4"/>
    <w:rsid w:val="00B211F8"/>
    <w:rsid w:val="00B25BC0"/>
    <w:rsid w:val="00B27154"/>
    <w:rsid w:val="00B512E7"/>
    <w:rsid w:val="00B52915"/>
    <w:rsid w:val="00B6106D"/>
    <w:rsid w:val="00B6577B"/>
    <w:rsid w:val="00B76512"/>
    <w:rsid w:val="00B87D52"/>
    <w:rsid w:val="00B91A56"/>
    <w:rsid w:val="00B92188"/>
    <w:rsid w:val="00BA2C24"/>
    <w:rsid w:val="00BA7EFC"/>
    <w:rsid w:val="00BB450B"/>
    <w:rsid w:val="00BC1D84"/>
    <w:rsid w:val="00BD68C7"/>
    <w:rsid w:val="00BE29F5"/>
    <w:rsid w:val="00BE6900"/>
    <w:rsid w:val="00BF2AF4"/>
    <w:rsid w:val="00C04765"/>
    <w:rsid w:val="00C0585C"/>
    <w:rsid w:val="00C07B24"/>
    <w:rsid w:val="00C17135"/>
    <w:rsid w:val="00C22AAC"/>
    <w:rsid w:val="00C31FD4"/>
    <w:rsid w:val="00C329D1"/>
    <w:rsid w:val="00C3749A"/>
    <w:rsid w:val="00C41B26"/>
    <w:rsid w:val="00C546EA"/>
    <w:rsid w:val="00C55D61"/>
    <w:rsid w:val="00C63E46"/>
    <w:rsid w:val="00C7792E"/>
    <w:rsid w:val="00C833C2"/>
    <w:rsid w:val="00C935C0"/>
    <w:rsid w:val="00C97DFE"/>
    <w:rsid w:val="00C97FF0"/>
    <w:rsid w:val="00CA40E4"/>
    <w:rsid w:val="00CA67C8"/>
    <w:rsid w:val="00CB39D6"/>
    <w:rsid w:val="00CB4D8E"/>
    <w:rsid w:val="00CC76B5"/>
    <w:rsid w:val="00CE17CD"/>
    <w:rsid w:val="00CE4161"/>
    <w:rsid w:val="00CE5D19"/>
    <w:rsid w:val="00CE5DD4"/>
    <w:rsid w:val="00CF6F13"/>
    <w:rsid w:val="00D03AE6"/>
    <w:rsid w:val="00D210F2"/>
    <w:rsid w:val="00D23207"/>
    <w:rsid w:val="00D31344"/>
    <w:rsid w:val="00D341AA"/>
    <w:rsid w:val="00D41374"/>
    <w:rsid w:val="00D50371"/>
    <w:rsid w:val="00D82511"/>
    <w:rsid w:val="00D946BA"/>
    <w:rsid w:val="00DA362B"/>
    <w:rsid w:val="00DB53DA"/>
    <w:rsid w:val="00DC64F9"/>
    <w:rsid w:val="00DD7633"/>
    <w:rsid w:val="00DF0E63"/>
    <w:rsid w:val="00DF21D8"/>
    <w:rsid w:val="00DF4104"/>
    <w:rsid w:val="00E00FC5"/>
    <w:rsid w:val="00E04741"/>
    <w:rsid w:val="00E1656C"/>
    <w:rsid w:val="00E2210C"/>
    <w:rsid w:val="00E26B9D"/>
    <w:rsid w:val="00E333EC"/>
    <w:rsid w:val="00E43E27"/>
    <w:rsid w:val="00E45122"/>
    <w:rsid w:val="00E451AD"/>
    <w:rsid w:val="00E6554F"/>
    <w:rsid w:val="00E658AC"/>
    <w:rsid w:val="00E67E69"/>
    <w:rsid w:val="00E741AA"/>
    <w:rsid w:val="00E94646"/>
    <w:rsid w:val="00EA2656"/>
    <w:rsid w:val="00EA477A"/>
    <w:rsid w:val="00EA63A6"/>
    <w:rsid w:val="00EB1D31"/>
    <w:rsid w:val="00EC13B9"/>
    <w:rsid w:val="00EC1AC8"/>
    <w:rsid w:val="00EC3805"/>
    <w:rsid w:val="00EC5168"/>
    <w:rsid w:val="00EC7E12"/>
    <w:rsid w:val="00EE3380"/>
    <w:rsid w:val="00EE3897"/>
    <w:rsid w:val="00EE7E48"/>
    <w:rsid w:val="00EF15D1"/>
    <w:rsid w:val="00EF2C64"/>
    <w:rsid w:val="00EF3D4B"/>
    <w:rsid w:val="00EF4799"/>
    <w:rsid w:val="00EF6D43"/>
    <w:rsid w:val="00F007EF"/>
    <w:rsid w:val="00F015AC"/>
    <w:rsid w:val="00F03CFD"/>
    <w:rsid w:val="00F17EB2"/>
    <w:rsid w:val="00F40D6A"/>
    <w:rsid w:val="00F42088"/>
    <w:rsid w:val="00F50AE5"/>
    <w:rsid w:val="00F5676D"/>
    <w:rsid w:val="00F67AC8"/>
    <w:rsid w:val="00F86111"/>
    <w:rsid w:val="00F878D3"/>
    <w:rsid w:val="00F92B7C"/>
    <w:rsid w:val="00FA2BE2"/>
    <w:rsid w:val="00FB487F"/>
    <w:rsid w:val="00FB5369"/>
    <w:rsid w:val="00FE1D3F"/>
    <w:rsid w:val="00FE314B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7210-C454-4B7E-AB3A-9A68DEA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4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7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C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71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B9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14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36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656C"/>
    <w:rPr>
      <w:color w:val="954F72" w:themeColor="followedHyperlink"/>
      <w:u w:val="single"/>
    </w:rPr>
  </w:style>
  <w:style w:type="character" w:customStyle="1" w:styleId="st">
    <w:name w:val="st"/>
    <w:basedOn w:val="Policepardfaut"/>
    <w:rsid w:val="003E7AA2"/>
  </w:style>
  <w:style w:type="character" w:styleId="Accentuation">
    <w:name w:val="Emphasis"/>
    <w:basedOn w:val="Policepardfaut"/>
    <w:uiPriority w:val="20"/>
    <w:qFormat/>
    <w:rsid w:val="003E7AA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4D79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nor">
    <w:name w:val="nor_nor"/>
    <w:basedOn w:val="Policepardfaut"/>
    <w:rsid w:val="00244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252A-B772-4B7D-8A63-CB9BA38E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1747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Matyjas</dc:creator>
  <cp:lastModifiedBy>Frederic Matyjas</cp:lastModifiedBy>
  <cp:revision>17</cp:revision>
  <cp:lastPrinted>2019-11-19T09:25:00Z</cp:lastPrinted>
  <dcterms:created xsi:type="dcterms:W3CDTF">2019-11-26T15:41:00Z</dcterms:created>
  <dcterms:modified xsi:type="dcterms:W3CDTF">2021-07-22T14:24:00Z</dcterms:modified>
</cp:coreProperties>
</file>