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AF" w:rsidRDefault="00764BD4" w:rsidP="00E00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Work Sans" w:hAnsi="Work Sans"/>
          <w:b/>
          <w:sz w:val="28"/>
        </w:rPr>
      </w:pPr>
      <w:r>
        <w:rPr>
          <w:rFonts w:ascii="Work Sans" w:hAnsi="Work Sans"/>
          <w:b/>
          <w:sz w:val="28"/>
        </w:rPr>
        <w:t>HRS4R – Groupe de travail n° 4 : formation</w:t>
      </w:r>
    </w:p>
    <w:p w:rsidR="00E00FC5" w:rsidRPr="00DB53DA" w:rsidRDefault="00DF0E63" w:rsidP="00E00FC5">
      <w:pPr>
        <w:jc w:val="center"/>
        <w:rPr>
          <w:rFonts w:ascii="Work Sans" w:hAnsi="Work Sans"/>
          <w:sz w:val="28"/>
          <w:u w:val="single"/>
        </w:rPr>
      </w:pPr>
      <w:r w:rsidRPr="00DB53DA">
        <w:rPr>
          <w:rFonts w:ascii="Work Sans" w:hAnsi="Work Sans"/>
          <w:sz w:val="28"/>
          <w:u w:val="single"/>
        </w:rPr>
        <w:t xml:space="preserve">Compte-rendu </w:t>
      </w:r>
      <w:r w:rsidR="00B52915" w:rsidRPr="00DB53DA">
        <w:rPr>
          <w:rFonts w:ascii="Work Sans" w:hAnsi="Work Sans"/>
          <w:sz w:val="28"/>
          <w:u w:val="single"/>
        </w:rPr>
        <w:t xml:space="preserve">de la </w:t>
      </w:r>
      <w:r w:rsidRPr="00DB53DA">
        <w:rPr>
          <w:rFonts w:ascii="Work Sans" w:hAnsi="Work Sans"/>
          <w:sz w:val="28"/>
          <w:u w:val="single"/>
        </w:rPr>
        <w:t xml:space="preserve">réunion du </w:t>
      </w:r>
      <w:r w:rsidR="00607EDB">
        <w:rPr>
          <w:rFonts w:ascii="Work Sans" w:hAnsi="Work Sans"/>
          <w:sz w:val="28"/>
          <w:u w:val="single"/>
        </w:rPr>
        <w:t>2</w:t>
      </w:r>
      <w:r w:rsidR="00764BD4" w:rsidRPr="00DB53DA">
        <w:rPr>
          <w:rFonts w:ascii="Work Sans" w:hAnsi="Work Sans"/>
          <w:sz w:val="28"/>
          <w:u w:val="single"/>
        </w:rPr>
        <w:t>/</w:t>
      </w:r>
      <w:r w:rsidR="00607EDB">
        <w:rPr>
          <w:rFonts w:ascii="Work Sans" w:hAnsi="Work Sans"/>
          <w:sz w:val="28"/>
          <w:u w:val="single"/>
        </w:rPr>
        <w:t>10</w:t>
      </w:r>
      <w:r w:rsidR="00E00FC5" w:rsidRPr="00DB53DA">
        <w:rPr>
          <w:rFonts w:ascii="Work Sans" w:hAnsi="Work Sans"/>
          <w:sz w:val="28"/>
          <w:u w:val="single"/>
        </w:rPr>
        <w:t>/201</w:t>
      </w:r>
      <w:r w:rsidR="00764BD4" w:rsidRPr="00DB53DA">
        <w:rPr>
          <w:rFonts w:ascii="Work Sans" w:hAnsi="Work Sans"/>
          <w:sz w:val="28"/>
          <w:u w:val="single"/>
        </w:rPr>
        <w:t>9</w:t>
      </w:r>
    </w:p>
    <w:p w:rsidR="00E00FC5" w:rsidRPr="008A37E1" w:rsidRDefault="00E00FC5" w:rsidP="00E00FC5">
      <w:pPr>
        <w:jc w:val="both"/>
        <w:rPr>
          <w:rFonts w:ascii="Work Sans" w:hAnsi="Work Sans"/>
          <w:i/>
          <w:sz w:val="20"/>
        </w:rPr>
      </w:pPr>
      <w:r w:rsidRPr="008A37E1">
        <w:rPr>
          <w:rFonts w:ascii="Work Sans" w:hAnsi="Work Sans"/>
          <w:i/>
          <w:sz w:val="20"/>
          <w:u w:val="single"/>
        </w:rPr>
        <w:t>Présents :</w:t>
      </w:r>
      <w:r w:rsidRPr="008A37E1">
        <w:rPr>
          <w:rFonts w:ascii="Work Sans" w:hAnsi="Work Sans"/>
          <w:i/>
          <w:sz w:val="20"/>
        </w:rPr>
        <w:t xml:space="preserve"> </w:t>
      </w:r>
      <w:proofErr w:type="spellStart"/>
      <w:r w:rsidR="008A37E1" w:rsidRPr="008A37E1">
        <w:rPr>
          <w:rFonts w:ascii="Work Sans" w:hAnsi="Work Sans"/>
          <w:i/>
          <w:sz w:val="20"/>
        </w:rPr>
        <w:t>Federica</w:t>
      </w:r>
      <w:proofErr w:type="spellEnd"/>
      <w:r w:rsidR="008A37E1" w:rsidRPr="008A37E1">
        <w:rPr>
          <w:rFonts w:ascii="Work Sans" w:hAnsi="Work Sans"/>
          <w:i/>
          <w:sz w:val="20"/>
        </w:rPr>
        <w:t xml:space="preserve"> OUDIN, </w:t>
      </w:r>
      <w:r w:rsidR="00410CC7">
        <w:rPr>
          <w:rFonts w:ascii="Work Sans" w:hAnsi="Work Sans"/>
          <w:i/>
          <w:sz w:val="20"/>
        </w:rPr>
        <w:t xml:space="preserve">Isabelle VIRLOGEUX-PAYANT, </w:t>
      </w:r>
      <w:proofErr w:type="spellStart"/>
      <w:r w:rsidR="00861A8C">
        <w:rPr>
          <w:rFonts w:ascii="Work Sans" w:hAnsi="Work Sans"/>
          <w:i/>
          <w:sz w:val="20"/>
        </w:rPr>
        <w:t>Fateme</w:t>
      </w:r>
      <w:r w:rsidR="00C6673E">
        <w:rPr>
          <w:rFonts w:ascii="Work Sans" w:hAnsi="Work Sans"/>
          <w:i/>
          <w:sz w:val="20"/>
        </w:rPr>
        <w:t>h</w:t>
      </w:r>
      <w:proofErr w:type="spellEnd"/>
      <w:r w:rsidR="00861A8C">
        <w:rPr>
          <w:rFonts w:ascii="Work Sans" w:hAnsi="Work Sans"/>
          <w:i/>
          <w:sz w:val="20"/>
        </w:rPr>
        <w:t xml:space="preserve"> GHALENOEE, </w:t>
      </w:r>
      <w:r w:rsidR="008A37E1" w:rsidRPr="008A37E1">
        <w:rPr>
          <w:rFonts w:ascii="Work Sans" w:hAnsi="Work Sans"/>
          <w:i/>
          <w:sz w:val="20"/>
        </w:rPr>
        <w:t xml:space="preserve">Isabelle GUILLOUET, Christelle PRAGNON, Manuelle </w:t>
      </w:r>
      <w:r w:rsidR="00DA362B" w:rsidRPr="00EF15D1">
        <w:rPr>
          <w:rFonts w:ascii="Work Sans" w:hAnsi="Work Sans"/>
          <w:i/>
          <w:sz w:val="20"/>
        </w:rPr>
        <w:t>RUILIER</w:t>
      </w:r>
      <w:r w:rsidR="008A37E1" w:rsidRPr="008A37E1">
        <w:rPr>
          <w:rFonts w:ascii="Work Sans" w:hAnsi="Work Sans"/>
          <w:i/>
          <w:sz w:val="20"/>
        </w:rPr>
        <w:t xml:space="preserve">, Caroline VASLIN, </w:t>
      </w:r>
      <w:r w:rsidR="00607EDB">
        <w:rPr>
          <w:rFonts w:ascii="Work Sans" w:hAnsi="Work Sans"/>
          <w:i/>
          <w:sz w:val="20"/>
        </w:rPr>
        <w:t>Anna CHAMI</w:t>
      </w:r>
      <w:r w:rsidR="008A37E1" w:rsidRPr="008A37E1">
        <w:rPr>
          <w:rFonts w:ascii="Work Sans" w:hAnsi="Work Sans"/>
          <w:i/>
          <w:sz w:val="20"/>
        </w:rPr>
        <w:t xml:space="preserve">, </w:t>
      </w:r>
      <w:r w:rsidR="00960F6D" w:rsidRPr="00937BD8">
        <w:rPr>
          <w:rFonts w:ascii="Work Sans" w:hAnsi="Work Sans"/>
          <w:b/>
          <w:i/>
          <w:sz w:val="20"/>
        </w:rPr>
        <w:t>Philippe ROINGEARD</w:t>
      </w:r>
      <w:r w:rsidR="00960F6D" w:rsidRPr="008A37E1">
        <w:rPr>
          <w:rFonts w:ascii="Work Sans" w:hAnsi="Work Sans"/>
          <w:i/>
          <w:sz w:val="20"/>
        </w:rPr>
        <w:t xml:space="preserve">, </w:t>
      </w:r>
      <w:r w:rsidR="00960F6D" w:rsidRPr="00607EDB">
        <w:rPr>
          <w:rFonts w:ascii="Work Sans" w:hAnsi="Work Sans"/>
          <w:b/>
          <w:i/>
          <w:color w:val="FF0000"/>
          <w:sz w:val="20"/>
        </w:rPr>
        <w:t>Jérôme CASAS</w:t>
      </w:r>
      <w:r w:rsidR="00960F6D" w:rsidRPr="008A37E1">
        <w:rPr>
          <w:rFonts w:ascii="Work Sans" w:hAnsi="Work Sans"/>
          <w:i/>
          <w:sz w:val="20"/>
        </w:rPr>
        <w:t xml:space="preserve">, </w:t>
      </w:r>
      <w:r w:rsidR="00607EDB">
        <w:rPr>
          <w:rFonts w:ascii="Work Sans" w:hAnsi="Work Sans"/>
          <w:i/>
          <w:sz w:val="20"/>
        </w:rPr>
        <w:t>Emmanuel NERON, François TRAN</w:t>
      </w:r>
      <w:r w:rsidR="00AC3C18">
        <w:rPr>
          <w:rFonts w:ascii="Work Sans" w:hAnsi="Work Sans"/>
          <w:i/>
          <w:sz w:val="20"/>
        </w:rPr>
        <w:t>-</w:t>
      </w:r>
      <w:r w:rsidR="004B0F53">
        <w:rPr>
          <w:rFonts w:ascii="Work Sans" w:hAnsi="Work Sans"/>
          <w:i/>
          <w:sz w:val="20"/>
        </w:rPr>
        <w:t>VAN</w:t>
      </w:r>
      <w:r w:rsidR="000131E3" w:rsidRPr="008A37E1">
        <w:rPr>
          <w:rFonts w:ascii="Work Sans" w:hAnsi="Work Sans"/>
          <w:i/>
          <w:sz w:val="20"/>
        </w:rPr>
        <w:t>, Frédéric MATYJAS</w:t>
      </w:r>
    </w:p>
    <w:p w:rsidR="00EF15D1" w:rsidRDefault="00764BD4" w:rsidP="00E00FC5">
      <w:pPr>
        <w:jc w:val="both"/>
        <w:rPr>
          <w:rFonts w:ascii="Work Sans" w:hAnsi="Work Sans"/>
          <w:i/>
          <w:sz w:val="20"/>
        </w:rPr>
      </w:pPr>
      <w:r w:rsidRPr="008A37E1">
        <w:rPr>
          <w:rFonts w:ascii="Work Sans" w:hAnsi="Work Sans"/>
          <w:i/>
          <w:sz w:val="20"/>
          <w:u w:val="single"/>
        </w:rPr>
        <w:t>Excusés :</w:t>
      </w:r>
      <w:r w:rsidRPr="008A37E1">
        <w:rPr>
          <w:rFonts w:ascii="Work Sans" w:hAnsi="Work Sans"/>
          <w:i/>
          <w:sz w:val="20"/>
        </w:rPr>
        <w:t xml:space="preserve"> </w:t>
      </w:r>
      <w:r w:rsidR="008A37E1" w:rsidRPr="008A37E1">
        <w:rPr>
          <w:rFonts w:ascii="Work Sans" w:hAnsi="Work Sans"/>
          <w:i/>
          <w:sz w:val="20"/>
        </w:rPr>
        <w:t xml:space="preserve">Christian GARBAR, </w:t>
      </w:r>
      <w:r w:rsidR="00607EDB">
        <w:rPr>
          <w:rFonts w:ascii="Work Sans" w:hAnsi="Work Sans"/>
          <w:i/>
          <w:sz w:val="20"/>
        </w:rPr>
        <w:t xml:space="preserve">Jérôme THIBONNET, </w:t>
      </w:r>
      <w:r w:rsidR="00607EDB" w:rsidRPr="008A37E1">
        <w:rPr>
          <w:rFonts w:ascii="Work Sans" w:hAnsi="Work Sans"/>
          <w:i/>
          <w:sz w:val="20"/>
        </w:rPr>
        <w:t>Lydia SEABRA</w:t>
      </w:r>
    </w:p>
    <w:p w:rsidR="00EA477A" w:rsidRPr="000B311D" w:rsidRDefault="00DF4104" w:rsidP="00EA477A">
      <w:pPr>
        <w:pStyle w:val="Paragraphedeliste"/>
        <w:numPr>
          <w:ilvl w:val="0"/>
          <w:numId w:val="1"/>
        </w:numPr>
        <w:jc w:val="both"/>
        <w:rPr>
          <w:rFonts w:ascii="Work Sans" w:hAnsi="Work Sans"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 xml:space="preserve">Introduction : </w:t>
      </w:r>
      <w:r w:rsidR="00DF0E63" w:rsidRPr="000B311D">
        <w:rPr>
          <w:rFonts w:ascii="Work Sans" w:hAnsi="Work Sans"/>
          <w:sz w:val="24"/>
          <w:szCs w:val="20"/>
          <w:u w:val="single"/>
        </w:rPr>
        <w:t xml:space="preserve"> </w:t>
      </w:r>
    </w:p>
    <w:p w:rsidR="008172C2" w:rsidRDefault="008172C2" w:rsidP="006D5DDF">
      <w:pPr>
        <w:pStyle w:val="Paragraphedeliste"/>
        <w:spacing w:after="0"/>
        <w:ind w:left="357"/>
        <w:jc w:val="both"/>
        <w:rPr>
          <w:rFonts w:ascii="Work Sans" w:hAnsi="Work Sans"/>
          <w:sz w:val="24"/>
          <w:szCs w:val="20"/>
        </w:rPr>
      </w:pPr>
    </w:p>
    <w:p w:rsidR="00DB53DA" w:rsidRDefault="00607EDB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 présentation de Jérôme CASAS en tant que porteur de projet et coordonnateur des 4 groupes de travail</w:t>
      </w:r>
      <w:r w:rsidR="00807B3D">
        <w:rPr>
          <w:rFonts w:ascii="Work Sans" w:hAnsi="Work Sans"/>
          <w:sz w:val="24"/>
          <w:szCs w:val="20"/>
        </w:rPr>
        <w:t>.</w:t>
      </w:r>
    </w:p>
    <w:p w:rsidR="000603DF" w:rsidRDefault="000603DF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0603DF" w:rsidRDefault="000603DF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la lettre d’intention vient </w:t>
      </w:r>
      <w:r w:rsidR="00663132">
        <w:rPr>
          <w:rFonts w:ascii="Work Sans" w:hAnsi="Work Sans"/>
          <w:sz w:val="24"/>
          <w:szCs w:val="20"/>
        </w:rPr>
        <w:t xml:space="preserve">tout </w:t>
      </w:r>
      <w:r>
        <w:rPr>
          <w:rFonts w:ascii="Work Sans" w:hAnsi="Work Sans"/>
          <w:sz w:val="24"/>
          <w:szCs w:val="20"/>
        </w:rPr>
        <w:t>juste d’être envoyée à la Commission Européenne, avec le compte de l’U</w:t>
      </w:r>
      <w:r w:rsidR="00807B3D">
        <w:rPr>
          <w:rFonts w:ascii="Work Sans" w:hAnsi="Work Sans"/>
          <w:sz w:val="24"/>
          <w:szCs w:val="20"/>
        </w:rPr>
        <w:t xml:space="preserve">T </w:t>
      </w:r>
      <w:r w:rsidR="00663132">
        <w:rPr>
          <w:rFonts w:ascii="Work Sans" w:hAnsi="Work Sans"/>
          <w:sz w:val="24"/>
          <w:szCs w:val="20"/>
        </w:rPr>
        <w:t xml:space="preserve">officiellement </w:t>
      </w:r>
      <w:r>
        <w:rPr>
          <w:rFonts w:ascii="Work Sans" w:hAnsi="Work Sans"/>
          <w:sz w:val="24"/>
          <w:szCs w:val="20"/>
        </w:rPr>
        <w:t xml:space="preserve">créé ; le délai de 12 mois commence donc à courir dès maintenant, </w:t>
      </w:r>
      <w:r w:rsidR="000D608B">
        <w:rPr>
          <w:rFonts w:ascii="Work Sans" w:hAnsi="Work Sans"/>
          <w:sz w:val="24"/>
          <w:szCs w:val="20"/>
        </w:rPr>
        <w:t xml:space="preserve">avec comme </w:t>
      </w:r>
      <w:r>
        <w:rPr>
          <w:rFonts w:ascii="Work Sans" w:hAnsi="Work Sans"/>
          <w:sz w:val="24"/>
          <w:szCs w:val="20"/>
        </w:rPr>
        <w:t>prochaine échéance la transmission d</w:t>
      </w:r>
      <w:r w:rsidR="00091CDB">
        <w:rPr>
          <w:rFonts w:ascii="Work Sans" w:hAnsi="Work Sans"/>
          <w:sz w:val="24"/>
          <w:szCs w:val="20"/>
        </w:rPr>
        <w:t>u plan d’action</w:t>
      </w:r>
      <w:r>
        <w:rPr>
          <w:rFonts w:ascii="Work Sans" w:hAnsi="Work Sans"/>
          <w:sz w:val="24"/>
          <w:szCs w:val="20"/>
        </w:rPr>
        <w:t>.</w:t>
      </w:r>
    </w:p>
    <w:p w:rsidR="00607EDB" w:rsidRDefault="00607EDB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960F6D" w:rsidRDefault="00D24CFB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 </w:t>
      </w:r>
    </w:p>
    <w:p w:rsidR="00EA477A" w:rsidRPr="000B311D" w:rsidRDefault="002750A4" w:rsidP="00EA477A">
      <w:pPr>
        <w:pStyle w:val="Paragraphedeliste"/>
        <w:numPr>
          <w:ilvl w:val="0"/>
          <w:numId w:val="2"/>
        </w:numPr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L’analyse de l’i</w:t>
      </w:r>
      <w:r w:rsidR="00EA477A" w:rsidRPr="000B311D">
        <w:rPr>
          <w:rFonts w:ascii="Work Sans" w:hAnsi="Work Sans"/>
          <w:b/>
          <w:sz w:val="24"/>
          <w:szCs w:val="20"/>
          <w:u w:val="single"/>
        </w:rPr>
        <w:t>tem 3</w:t>
      </w:r>
      <w:r w:rsidR="00E45122">
        <w:rPr>
          <w:rFonts w:ascii="Work Sans" w:hAnsi="Work Sans"/>
          <w:b/>
          <w:sz w:val="24"/>
          <w:szCs w:val="20"/>
          <w:u w:val="single"/>
        </w:rPr>
        <w:t>7</w:t>
      </w:r>
      <w:r w:rsidR="00EA477A" w:rsidRPr="000B311D">
        <w:rPr>
          <w:rFonts w:ascii="Work Sans" w:hAnsi="Work Sans"/>
          <w:b/>
          <w:sz w:val="24"/>
          <w:szCs w:val="20"/>
          <w:u w:val="single"/>
        </w:rPr>
        <w:t xml:space="preserve"> – </w:t>
      </w:r>
      <w:r w:rsidR="009C25B9">
        <w:rPr>
          <w:rFonts w:ascii="Work Sans" w:hAnsi="Work Sans"/>
          <w:b/>
          <w:sz w:val="24"/>
          <w:szCs w:val="20"/>
          <w:u w:val="single"/>
        </w:rPr>
        <w:t>Supervision des tâches de gestion</w:t>
      </w:r>
      <w:r w:rsidR="00EA2656" w:rsidRPr="000B311D">
        <w:rPr>
          <w:rFonts w:ascii="Work Sans" w:hAnsi="Work Sans"/>
          <w:b/>
          <w:sz w:val="24"/>
          <w:szCs w:val="20"/>
          <w:u w:val="single"/>
        </w:rPr>
        <w:t xml:space="preserve">, 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dresse </w:t>
      </w:r>
      <w:r w:rsidR="00EA2656" w:rsidRPr="000B311D">
        <w:rPr>
          <w:rFonts w:ascii="Work Sans" w:hAnsi="Work Sans"/>
          <w:b/>
          <w:sz w:val="24"/>
          <w:szCs w:val="20"/>
          <w:u w:val="single"/>
        </w:rPr>
        <w:t>les constats suivants</w:t>
      </w:r>
      <w:r w:rsidR="00EA477A" w:rsidRPr="000B311D">
        <w:rPr>
          <w:rFonts w:ascii="Work Sans" w:hAnsi="Work Sans"/>
          <w:b/>
          <w:sz w:val="24"/>
          <w:szCs w:val="20"/>
          <w:u w:val="single"/>
        </w:rPr>
        <w:t xml:space="preserve"> : </w:t>
      </w:r>
    </w:p>
    <w:p w:rsidR="00EA477A" w:rsidRDefault="00EA477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4E7540" w:rsidRDefault="000D608B" w:rsidP="004E7540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 w:rsidRPr="0027231C">
        <w:rPr>
          <w:rFonts w:ascii="Work Sans" w:hAnsi="Work Sans"/>
          <w:sz w:val="24"/>
          <w:szCs w:val="20"/>
        </w:rPr>
        <w:t xml:space="preserve">- des formations </w:t>
      </w:r>
      <w:r w:rsidR="004E7540" w:rsidRPr="0027231C">
        <w:rPr>
          <w:rFonts w:ascii="Work Sans" w:hAnsi="Work Sans"/>
          <w:sz w:val="24"/>
          <w:szCs w:val="20"/>
        </w:rPr>
        <w:t xml:space="preserve">au </w:t>
      </w:r>
      <w:r w:rsidR="009358CC" w:rsidRPr="0027231C">
        <w:rPr>
          <w:rFonts w:ascii="Work Sans" w:hAnsi="Work Sans"/>
          <w:sz w:val="24"/>
          <w:szCs w:val="20"/>
        </w:rPr>
        <w:t>management</w:t>
      </w:r>
      <w:r w:rsidRPr="0027231C">
        <w:rPr>
          <w:rFonts w:ascii="Work Sans" w:hAnsi="Work Sans"/>
          <w:sz w:val="24"/>
          <w:szCs w:val="20"/>
        </w:rPr>
        <w:t xml:space="preserve"> pour les directeurs d’</w:t>
      </w:r>
      <w:r w:rsidR="004E7540" w:rsidRPr="0027231C">
        <w:rPr>
          <w:rFonts w:ascii="Work Sans" w:hAnsi="Work Sans"/>
          <w:sz w:val="24"/>
          <w:szCs w:val="20"/>
        </w:rPr>
        <w:t>UMR sont proposées à chaque début de contrat par les organismes</w:t>
      </w:r>
      <w:r w:rsidR="0027231C" w:rsidRPr="0027231C">
        <w:rPr>
          <w:rFonts w:ascii="Work Sans" w:hAnsi="Work Sans"/>
          <w:sz w:val="24"/>
          <w:szCs w:val="20"/>
        </w:rPr>
        <w:t xml:space="preserve"> partenaires</w:t>
      </w:r>
      <w:r w:rsidR="004E7540" w:rsidRPr="0027231C">
        <w:rPr>
          <w:rFonts w:ascii="Work Sans" w:hAnsi="Work Sans"/>
          <w:sz w:val="24"/>
          <w:szCs w:val="20"/>
        </w:rPr>
        <w:t xml:space="preserve"> (INSERM, CNRS, INRA). Dans le cas des équipes d’accueil, l’UT organise aussi une formation au management pour tous les nouveaux directeurs d’équipe de recherche, en début de chaque contrat, mais</w:t>
      </w:r>
      <w:r w:rsidR="004E7540">
        <w:rPr>
          <w:rFonts w:ascii="Work Sans" w:hAnsi="Work Sans"/>
          <w:sz w:val="24"/>
          <w:szCs w:val="20"/>
        </w:rPr>
        <w:t xml:space="preserve"> sur la base du volontariat uniquement.</w:t>
      </w:r>
    </w:p>
    <w:p w:rsidR="004E7540" w:rsidRDefault="004E7540" w:rsidP="004E7540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0D608B" w:rsidRDefault="004E7540" w:rsidP="004E7540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 des formation</w:t>
      </w:r>
      <w:r w:rsidR="003F1D59">
        <w:rPr>
          <w:rFonts w:ascii="Work Sans" w:hAnsi="Work Sans"/>
          <w:sz w:val="24"/>
          <w:szCs w:val="20"/>
        </w:rPr>
        <w:t>s</w:t>
      </w:r>
      <w:r>
        <w:rPr>
          <w:rFonts w:ascii="Work Sans" w:hAnsi="Work Sans"/>
          <w:sz w:val="24"/>
          <w:szCs w:val="20"/>
        </w:rPr>
        <w:t xml:space="preserve"> à l’encadrement doctoral pour les directeurs de thèse </w:t>
      </w:r>
      <w:r w:rsidR="000D608B">
        <w:rPr>
          <w:rFonts w:ascii="Work Sans" w:hAnsi="Work Sans"/>
          <w:sz w:val="24"/>
          <w:szCs w:val="20"/>
        </w:rPr>
        <w:t>sont</w:t>
      </w:r>
      <w:r>
        <w:rPr>
          <w:rFonts w:ascii="Work Sans" w:hAnsi="Work Sans"/>
          <w:sz w:val="24"/>
          <w:szCs w:val="20"/>
        </w:rPr>
        <w:t xml:space="preserve"> </w:t>
      </w:r>
      <w:r w:rsidR="003F1D59">
        <w:rPr>
          <w:rFonts w:ascii="Work Sans" w:hAnsi="Work Sans"/>
          <w:sz w:val="24"/>
          <w:szCs w:val="20"/>
        </w:rPr>
        <w:t xml:space="preserve">également </w:t>
      </w:r>
      <w:r w:rsidR="002B3D41">
        <w:rPr>
          <w:rFonts w:ascii="Work Sans" w:hAnsi="Work Sans"/>
          <w:sz w:val="24"/>
          <w:szCs w:val="20"/>
        </w:rPr>
        <w:t>dispensées</w:t>
      </w:r>
      <w:r w:rsidR="00CC76B5">
        <w:rPr>
          <w:rFonts w:ascii="Work Sans" w:hAnsi="Work Sans"/>
          <w:sz w:val="24"/>
          <w:szCs w:val="20"/>
        </w:rPr>
        <w:t xml:space="preserve">, </w:t>
      </w:r>
      <w:r w:rsidR="003F1D59">
        <w:rPr>
          <w:rFonts w:ascii="Work Sans" w:hAnsi="Work Sans"/>
          <w:sz w:val="24"/>
          <w:szCs w:val="20"/>
        </w:rPr>
        <w:t xml:space="preserve">sous la forme </w:t>
      </w:r>
      <w:r w:rsidR="003F1D59" w:rsidRPr="003F1D59">
        <w:rPr>
          <w:rFonts w:ascii="Work Sans" w:hAnsi="Work Sans"/>
          <w:sz w:val="24"/>
          <w:szCs w:val="20"/>
        </w:rPr>
        <w:t>de séminaires de sensibilisation à la responsabilité professionnelle pour les HDR notamment</w:t>
      </w:r>
      <w:r w:rsidR="003F1D59">
        <w:rPr>
          <w:rFonts w:ascii="Work Sans" w:hAnsi="Work Sans"/>
          <w:sz w:val="24"/>
          <w:szCs w:val="20"/>
        </w:rPr>
        <w:t> (1</w:t>
      </w:r>
      <w:r w:rsidR="003F1D59" w:rsidRPr="003F1D59">
        <w:rPr>
          <w:rFonts w:ascii="Work Sans" w:hAnsi="Work Sans"/>
          <w:sz w:val="24"/>
          <w:szCs w:val="20"/>
        </w:rPr>
        <w:t xml:space="preserve">ère année : encadrement doctoral / </w:t>
      </w:r>
      <w:r w:rsidR="003F1D59">
        <w:rPr>
          <w:rFonts w:ascii="Work Sans" w:hAnsi="Work Sans"/>
          <w:sz w:val="24"/>
          <w:szCs w:val="20"/>
        </w:rPr>
        <w:t>2ème année : ateliers pratiques).</w:t>
      </w:r>
    </w:p>
    <w:p w:rsidR="000D608B" w:rsidRDefault="000D608B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9358CC" w:rsidRDefault="009358CC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6D6262" w:rsidRPr="00EF15D1">
        <w:rPr>
          <w:rFonts w:ascii="Work Sans" w:hAnsi="Work Sans"/>
          <w:sz w:val="24"/>
          <w:szCs w:val="20"/>
        </w:rPr>
        <w:t>application d’une charte des thèses,</w:t>
      </w:r>
      <w:r w:rsidR="006D6262">
        <w:rPr>
          <w:rFonts w:ascii="Work Sans" w:hAnsi="Work Sans"/>
          <w:sz w:val="24"/>
          <w:szCs w:val="20"/>
        </w:rPr>
        <w:t xml:space="preserve"> afin d’informer et de responsabiliser </w:t>
      </w:r>
      <w:r w:rsidR="006D6262" w:rsidRPr="00EF15D1">
        <w:rPr>
          <w:rFonts w:ascii="Work Sans" w:hAnsi="Work Sans"/>
          <w:sz w:val="24"/>
          <w:szCs w:val="20"/>
        </w:rPr>
        <w:t>tous les intervenants</w:t>
      </w:r>
      <w:r w:rsidR="006D6262">
        <w:rPr>
          <w:rFonts w:ascii="Work Sans" w:hAnsi="Work Sans"/>
          <w:sz w:val="24"/>
          <w:szCs w:val="20"/>
        </w:rPr>
        <w:t> (cf. item 36)</w:t>
      </w:r>
      <w:r w:rsidR="00A318EB">
        <w:rPr>
          <w:rFonts w:ascii="Work Sans" w:hAnsi="Work Sans"/>
          <w:sz w:val="24"/>
          <w:szCs w:val="20"/>
        </w:rPr>
        <w:t>.</w:t>
      </w:r>
    </w:p>
    <w:p w:rsidR="006D6262" w:rsidRDefault="006D6262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6D6262" w:rsidRDefault="006D6262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 w:rsidRPr="0027231C">
        <w:rPr>
          <w:rFonts w:ascii="Work Sans" w:hAnsi="Work Sans"/>
          <w:sz w:val="24"/>
          <w:szCs w:val="20"/>
        </w:rPr>
        <w:t xml:space="preserve">- </w:t>
      </w:r>
      <w:r w:rsidR="006C7104" w:rsidRPr="0027231C">
        <w:rPr>
          <w:rFonts w:ascii="Work Sans" w:hAnsi="Work Sans"/>
          <w:sz w:val="24"/>
          <w:szCs w:val="20"/>
        </w:rPr>
        <w:t xml:space="preserve">l’UT applique un dispositif de </w:t>
      </w:r>
      <w:r w:rsidR="007B35F5" w:rsidRPr="0027231C">
        <w:rPr>
          <w:rFonts w:ascii="Work Sans" w:hAnsi="Work Sans"/>
          <w:sz w:val="24"/>
          <w:szCs w:val="20"/>
        </w:rPr>
        <w:t xml:space="preserve">gestion </w:t>
      </w:r>
      <w:r w:rsidR="006C7104" w:rsidRPr="0027231C">
        <w:rPr>
          <w:rFonts w:ascii="Work Sans" w:hAnsi="Work Sans"/>
          <w:sz w:val="24"/>
          <w:szCs w:val="20"/>
        </w:rPr>
        <w:t>des EC en situation de mal-être ou « </w:t>
      </w:r>
      <w:r w:rsidR="007B35F5" w:rsidRPr="0027231C">
        <w:rPr>
          <w:rFonts w:ascii="Work Sans" w:hAnsi="Work Sans"/>
          <w:sz w:val="24"/>
          <w:szCs w:val="20"/>
        </w:rPr>
        <w:t>désœuvrement</w:t>
      </w:r>
      <w:r w:rsidR="006C7104" w:rsidRPr="0027231C">
        <w:rPr>
          <w:rFonts w:ascii="Work Sans" w:hAnsi="Work Sans"/>
          <w:sz w:val="24"/>
          <w:szCs w:val="20"/>
        </w:rPr>
        <w:t> »</w:t>
      </w:r>
      <w:r w:rsidR="004E7540" w:rsidRPr="0027231C">
        <w:rPr>
          <w:rFonts w:ascii="Work Sans" w:hAnsi="Work Sans"/>
          <w:sz w:val="24"/>
          <w:szCs w:val="20"/>
        </w:rPr>
        <w:t xml:space="preserve">, lorsque ceux-ci sont reportés dans leur dossier de suivi de carrière. Ce dispositif consiste en une rencontre avec les vice-présidents (es) en charge de la recherche et des formations, afin de leur proposer des solutions </w:t>
      </w:r>
      <w:r w:rsidR="004E438E" w:rsidRPr="0027231C">
        <w:rPr>
          <w:rFonts w:ascii="Work Sans" w:hAnsi="Work Sans"/>
          <w:sz w:val="24"/>
          <w:szCs w:val="20"/>
        </w:rPr>
        <w:t xml:space="preserve">les </w:t>
      </w:r>
      <w:r w:rsidR="004E7540" w:rsidRPr="0027231C">
        <w:rPr>
          <w:rFonts w:ascii="Work Sans" w:hAnsi="Work Sans"/>
          <w:sz w:val="24"/>
          <w:szCs w:val="20"/>
        </w:rPr>
        <w:t>mieux adaptées</w:t>
      </w:r>
      <w:r w:rsidR="004E438E" w:rsidRPr="0027231C">
        <w:rPr>
          <w:rFonts w:ascii="Work Sans" w:hAnsi="Work Sans"/>
          <w:sz w:val="24"/>
          <w:szCs w:val="20"/>
        </w:rPr>
        <w:t xml:space="preserve"> en pédagogie et/ou en recherche</w:t>
      </w:r>
      <w:r w:rsidR="004E7540" w:rsidRPr="0027231C">
        <w:rPr>
          <w:rFonts w:ascii="Work Sans" w:hAnsi="Work Sans"/>
          <w:sz w:val="24"/>
          <w:szCs w:val="20"/>
        </w:rPr>
        <w:t>.</w:t>
      </w:r>
    </w:p>
    <w:p w:rsidR="006C7104" w:rsidRDefault="006C7104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6C7104" w:rsidRDefault="006C7104" w:rsidP="000D608B">
      <w:pPr>
        <w:pStyle w:val="Paragraphedeliste"/>
        <w:ind w:left="360"/>
        <w:jc w:val="both"/>
        <w:rPr>
          <w:rFonts w:ascii="Work Sans" w:hAnsi="Work Sans"/>
          <w:color w:val="FF0000"/>
          <w:sz w:val="24"/>
          <w:szCs w:val="20"/>
        </w:rPr>
      </w:pPr>
      <w:r w:rsidRPr="0027231C">
        <w:rPr>
          <w:rFonts w:ascii="Work Sans" w:hAnsi="Work Sans"/>
          <w:sz w:val="24"/>
          <w:szCs w:val="20"/>
        </w:rPr>
        <w:t xml:space="preserve">- </w:t>
      </w:r>
      <w:r w:rsidR="007C3FEB" w:rsidRPr="0027231C">
        <w:rPr>
          <w:rFonts w:ascii="Work Sans" w:hAnsi="Work Sans"/>
          <w:sz w:val="24"/>
          <w:szCs w:val="20"/>
        </w:rPr>
        <w:t>afin de favoriser la transparence</w:t>
      </w:r>
      <w:r w:rsidR="009E6E02" w:rsidRPr="0027231C">
        <w:rPr>
          <w:rFonts w:ascii="Work Sans" w:hAnsi="Work Sans"/>
          <w:sz w:val="24"/>
          <w:szCs w:val="20"/>
        </w:rPr>
        <w:t xml:space="preserve"> et l’égalité de traitement</w:t>
      </w:r>
      <w:r w:rsidR="007C3FEB" w:rsidRPr="0027231C">
        <w:rPr>
          <w:rFonts w:ascii="Work Sans" w:hAnsi="Work Sans"/>
          <w:sz w:val="24"/>
          <w:szCs w:val="20"/>
        </w:rPr>
        <w:t xml:space="preserve">, </w:t>
      </w:r>
      <w:r w:rsidR="004E438E" w:rsidRPr="0027231C">
        <w:rPr>
          <w:rFonts w:ascii="Work Sans" w:hAnsi="Work Sans"/>
          <w:sz w:val="24"/>
          <w:szCs w:val="20"/>
        </w:rPr>
        <w:t>les procédures</w:t>
      </w:r>
      <w:r w:rsidRPr="0027231C">
        <w:rPr>
          <w:rFonts w:ascii="Work Sans" w:hAnsi="Work Sans"/>
          <w:sz w:val="24"/>
          <w:szCs w:val="20"/>
        </w:rPr>
        <w:t xml:space="preserve"> d</w:t>
      </w:r>
      <w:r w:rsidR="004E438E" w:rsidRPr="0027231C">
        <w:rPr>
          <w:rFonts w:ascii="Work Sans" w:hAnsi="Work Sans"/>
          <w:sz w:val="24"/>
          <w:szCs w:val="20"/>
        </w:rPr>
        <w:t xml:space="preserve">’attribution de </w:t>
      </w:r>
      <w:r w:rsidRPr="0027231C">
        <w:rPr>
          <w:rFonts w:ascii="Work Sans" w:hAnsi="Work Sans"/>
          <w:sz w:val="24"/>
          <w:szCs w:val="20"/>
        </w:rPr>
        <w:t xml:space="preserve">la Prime d’Encadrement Doctoral et de Recherche (PEDR) </w:t>
      </w:r>
      <w:r w:rsidR="004E438E" w:rsidRPr="0027231C">
        <w:rPr>
          <w:rFonts w:ascii="Work Sans" w:hAnsi="Work Sans"/>
          <w:sz w:val="24"/>
          <w:szCs w:val="20"/>
        </w:rPr>
        <w:t>font</w:t>
      </w:r>
      <w:r w:rsidR="009E6E02">
        <w:rPr>
          <w:rFonts w:ascii="Work Sans" w:hAnsi="Work Sans"/>
          <w:sz w:val="24"/>
          <w:szCs w:val="20"/>
        </w:rPr>
        <w:t xml:space="preserve"> l’objet d’un </w:t>
      </w:r>
      <w:r>
        <w:rPr>
          <w:rFonts w:ascii="Work Sans" w:hAnsi="Work Sans"/>
          <w:sz w:val="24"/>
          <w:szCs w:val="20"/>
        </w:rPr>
        <w:t xml:space="preserve">document </w:t>
      </w:r>
      <w:r w:rsidR="009E6E02">
        <w:rPr>
          <w:rFonts w:ascii="Work Sans" w:hAnsi="Work Sans"/>
          <w:sz w:val="24"/>
          <w:szCs w:val="20"/>
        </w:rPr>
        <w:t xml:space="preserve">explicatif </w:t>
      </w:r>
      <w:r>
        <w:rPr>
          <w:rFonts w:ascii="Work Sans" w:hAnsi="Work Sans"/>
          <w:sz w:val="24"/>
          <w:szCs w:val="20"/>
        </w:rPr>
        <w:t>spécifique</w:t>
      </w:r>
      <w:r w:rsidR="00537508">
        <w:rPr>
          <w:rFonts w:ascii="Work Sans" w:hAnsi="Work Sans"/>
          <w:sz w:val="24"/>
          <w:szCs w:val="20"/>
        </w:rPr>
        <w:t xml:space="preserve"> validé par le CA </w:t>
      </w:r>
      <w:r w:rsidR="00537508" w:rsidRPr="00537508">
        <w:rPr>
          <w:rFonts w:ascii="Work Sans" w:hAnsi="Work Sans"/>
          <w:sz w:val="24"/>
          <w:szCs w:val="20"/>
        </w:rPr>
        <w:t>:</w:t>
      </w:r>
      <w:r w:rsidR="00537508">
        <w:rPr>
          <w:rFonts w:ascii="Work Sans" w:hAnsi="Work Sans"/>
          <w:sz w:val="24"/>
          <w:szCs w:val="20"/>
        </w:rPr>
        <w:t xml:space="preserve"> </w:t>
      </w:r>
      <w:hyperlink r:id="rId6" w:history="1">
        <w:r w:rsidR="00537508" w:rsidRPr="00213DFE">
          <w:rPr>
            <w:rStyle w:val="Lienhypertexte"/>
            <w:rFonts w:ascii="Work Sans" w:hAnsi="Work Sans"/>
            <w:sz w:val="24"/>
            <w:szCs w:val="20"/>
          </w:rPr>
          <w:t>https://www.univ-tours.fr/medias/fichier/deliberation-n-2018-93-approuvant-les-criteres-d-attribution-de-la-prime-d-encadrement-doctoral-et-de-recherche_1563195628003-pdf?ID_FICHE=14057&amp;INLINE=FALSE</w:t>
        </w:r>
      </w:hyperlink>
    </w:p>
    <w:p w:rsidR="00537508" w:rsidRDefault="00537508" w:rsidP="000D608B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A83D4A" w:rsidRPr="0027231C" w:rsidRDefault="00A318EB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 w:rsidRPr="0027231C">
        <w:rPr>
          <w:rFonts w:ascii="Work Sans" w:hAnsi="Work Sans"/>
          <w:sz w:val="24"/>
          <w:szCs w:val="20"/>
        </w:rPr>
        <w:lastRenderedPageBreak/>
        <w:t xml:space="preserve">- même si non-obligatoire réglementairement parlant, l’UT préconise et encourage la pratique des EPI à destination des </w:t>
      </w:r>
      <w:r w:rsidR="004E438E" w:rsidRPr="0027231C">
        <w:rPr>
          <w:rFonts w:ascii="Work Sans" w:hAnsi="Work Sans"/>
          <w:sz w:val="24"/>
          <w:szCs w:val="20"/>
        </w:rPr>
        <w:t xml:space="preserve">chercheurs </w:t>
      </w:r>
      <w:r w:rsidRPr="0027231C">
        <w:rPr>
          <w:rFonts w:ascii="Work Sans" w:hAnsi="Work Sans"/>
          <w:sz w:val="24"/>
          <w:szCs w:val="20"/>
        </w:rPr>
        <w:t>contractuels</w:t>
      </w:r>
      <w:r w:rsidR="004E438E" w:rsidRPr="0027231C">
        <w:rPr>
          <w:rFonts w:ascii="Work Sans" w:hAnsi="Work Sans"/>
          <w:sz w:val="24"/>
          <w:szCs w:val="20"/>
        </w:rPr>
        <w:t xml:space="preserve"> (ingénieur, post-doctorants)</w:t>
      </w:r>
      <w:r w:rsidRPr="0027231C">
        <w:rPr>
          <w:rFonts w:ascii="Work Sans" w:hAnsi="Work Sans"/>
          <w:sz w:val="24"/>
          <w:szCs w:val="20"/>
        </w:rPr>
        <w:t> </w:t>
      </w:r>
      <w:r w:rsidRPr="0027231C">
        <w:rPr>
          <w:rFonts w:ascii="Work Sans" w:hAnsi="Work Sans"/>
          <w:sz w:val="24"/>
          <w:szCs w:val="20"/>
        </w:rPr>
        <w:sym w:font="Wingdings" w:char="F0E0"/>
      </w:r>
      <w:r w:rsidRPr="0027231C">
        <w:rPr>
          <w:rFonts w:ascii="Work Sans" w:hAnsi="Work Sans"/>
          <w:sz w:val="24"/>
          <w:szCs w:val="20"/>
        </w:rPr>
        <w:t xml:space="preserve"> réalisé par l’intermédiaire de l’outil EVAL, qui comporte également en parallèle un volet </w:t>
      </w:r>
      <w:r w:rsidR="004E438E" w:rsidRPr="0027231C">
        <w:rPr>
          <w:rFonts w:ascii="Work Sans" w:hAnsi="Work Sans"/>
          <w:sz w:val="24"/>
          <w:szCs w:val="20"/>
        </w:rPr>
        <w:t>d’évaluation des besoins en</w:t>
      </w:r>
      <w:r w:rsidRPr="0027231C">
        <w:rPr>
          <w:rFonts w:ascii="Work Sans" w:hAnsi="Work Sans"/>
          <w:sz w:val="24"/>
          <w:szCs w:val="20"/>
        </w:rPr>
        <w:t> formation (cf. item 38 à suivre).</w:t>
      </w:r>
      <w:r w:rsidR="0027231C" w:rsidRPr="0027231C">
        <w:rPr>
          <w:rFonts w:ascii="Work Sans" w:hAnsi="Work Sans"/>
          <w:sz w:val="24"/>
          <w:szCs w:val="20"/>
        </w:rPr>
        <w:t xml:space="preserve"> Par ailleurs, </w:t>
      </w:r>
      <w:r w:rsidR="004E438E" w:rsidRPr="0027231C">
        <w:rPr>
          <w:rFonts w:ascii="Work Sans" w:hAnsi="Work Sans"/>
          <w:sz w:val="24"/>
          <w:szCs w:val="20"/>
        </w:rPr>
        <w:t>l’UT a mis en place une formation à la réalisation de ces EPI, notamment pour les directeurs d’équipe de recherche.</w:t>
      </w:r>
    </w:p>
    <w:p w:rsidR="004E438E" w:rsidRDefault="004E438E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791C4E" w:rsidRPr="000B311D" w:rsidRDefault="002750A4" w:rsidP="00F92B7C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Item 3</w:t>
      </w:r>
      <w:r w:rsidR="00816F0A">
        <w:rPr>
          <w:rFonts w:ascii="Work Sans" w:hAnsi="Work Sans"/>
          <w:b/>
          <w:sz w:val="24"/>
          <w:szCs w:val="20"/>
          <w:u w:val="single"/>
        </w:rPr>
        <w:t>7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 - </w:t>
      </w:r>
      <w:r w:rsidR="0071771F" w:rsidRPr="000B311D">
        <w:rPr>
          <w:rFonts w:ascii="Work Sans" w:hAnsi="Work Sans"/>
          <w:b/>
          <w:sz w:val="24"/>
          <w:szCs w:val="20"/>
          <w:u w:val="single"/>
        </w:rPr>
        <w:t xml:space="preserve">Les </w:t>
      </w:r>
      <w:r w:rsidR="008721BF" w:rsidRPr="000B311D">
        <w:rPr>
          <w:rFonts w:ascii="Work Sans" w:hAnsi="Work Sans"/>
          <w:b/>
          <w:sz w:val="24"/>
          <w:szCs w:val="20"/>
          <w:u w:val="single"/>
        </w:rPr>
        <w:t>écart</w:t>
      </w:r>
      <w:r w:rsidR="00B87D52" w:rsidRPr="000B311D">
        <w:rPr>
          <w:rFonts w:ascii="Work Sans" w:hAnsi="Work Sans"/>
          <w:b/>
          <w:sz w:val="24"/>
          <w:szCs w:val="20"/>
          <w:u w:val="single"/>
        </w:rPr>
        <w:t>s</w:t>
      </w:r>
      <w:r w:rsidR="008721BF" w:rsidRPr="000B311D">
        <w:rPr>
          <w:rFonts w:ascii="Work Sans" w:hAnsi="Work Sans"/>
          <w:b/>
          <w:sz w:val="24"/>
          <w:szCs w:val="20"/>
          <w:u w:val="single"/>
        </w:rPr>
        <w:t xml:space="preserve"> </w:t>
      </w:r>
      <w:r w:rsidR="00AF5FA4" w:rsidRPr="000B311D">
        <w:rPr>
          <w:rFonts w:ascii="Work Sans" w:hAnsi="Work Sans"/>
          <w:b/>
          <w:sz w:val="24"/>
          <w:szCs w:val="20"/>
          <w:u w:val="single"/>
        </w:rPr>
        <w:t>décelés et les propositions d’action(s)</w:t>
      </w:r>
      <w:r w:rsidR="00BD68C7" w:rsidRPr="000B311D">
        <w:rPr>
          <w:rFonts w:ascii="Work Sans" w:hAnsi="Work Sans"/>
          <w:b/>
          <w:sz w:val="24"/>
          <w:szCs w:val="20"/>
          <w:u w:val="single"/>
        </w:rPr>
        <w:t xml:space="preserve"> </w:t>
      </w:r>
      <w:r w:rsidR="00791C4E" w:rsidRPr="000B311D">
        <w:rPr>
          <w:rFonts w:ascii="Work Sans" w:hAnsi="Work Sans"/>
          <w:b/>
          <w:sz w:val="24"/>
          <w:szCs w:val="20"/>
          <w:u w:val="single"/>
        </w:rPr>
        <w:t>:</w:t>
      </w:r>
    </w:p>
    <w:p w:rsidR="00C04765" w:rsidRDefault="00C04765" w:rsidP="00F92B7C">
      <w:pPr>
        <w:pStyle w:val="Paragraphedeliste"/>
        <w:spacing w:after="0"/>
        <w:ind w:left="357"/>
        <w:jc w:val="both"/>
        <w:rPr>
          <w:rFonts w:ascii="Work Sans" w:hAnsi="Work Sans"/>
          <w:sz w:val="24"/>
          <w:szCs w:val="20"/>
        </w:rPr>
      </w:pPr>
    </w:p>
    <w:p w:rsidR="000D608B" w:rsidRDefault="00C04765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27231C">
        <w:rPr>
          <w:rFonts w:ascii="Work Sans" w:hAnsi="Work Sans"/>
          <w:sz w:val="24"/>
          <w:szCs w:val="20"/>
        </w:rPr>
        <w:t>-</w:t>
      </w:r>
      <w:r w:rsidR="00AF5FA4" w:rsidRPr="0027231C">
        <w:rPr>
          <w:rFonts w:ascii="Work Sans" w:hAnsi="Work Sans"/>
          <w:sz w:val="24"/>
          <w:szCs w:val="20"/>
        </w:rPr>
        <w:t xml:space="preserve"> </w:t>
      </w:r>
      <w:r w:rsidR="000D608B" w:rsidRPr="0027231C">
        <w:rPr>
          <w:rFonts w:ascii="Work Sans" w:hAnsi="Work Sans"/>
          <w:sz w:val="24"/>
          <w:szCs w:val="20"/>
        </w:rPr>
        <w:t>rendre</w:t>
      </w:r>
      <w:r w:rsidR="009358CC" w:rsidRPr="0027231C">
        <w:rPr>
          <w:rFonts w:ascii="Work Sans" w:hAnsi="Work Sans"/>
          <w:sz w:val="24"/>
          <w:szCs w:val="20"/>
        </w:rPr>
        <w:t xml:space="preserve"> </w:t>
      </w:r>
      <w:r w:rsidR="000D608B" w:rsidRPr="0027231C">
        <w:rPr>
          <w:rFonts w:ascii="Work Sans" w:hAnsi="Work Sans"/>
          <w:sz w:val="24"/>
          <w:szCs w:val="20"/>
        </w:rPr>
        <w:t xml:space="preserve">obligatoire les formations </w:t>
      </w:r>
      <w:r w:rsidR="003E00AD" w:rsidRPr="0027231C">
        <w:rPr>
          <w:rFonts w:ascii="Work Sans" w:hAnsi="Work Sans"/>
          <w:sz w:val="24"/>
          <w:szCs w:val="20"/>
        </w:rPr>
        <w:t xml:space="preserve">au </w:t>
      </w:r>
      <w:r w:rsidR="000D608B" w:rsidRPr="0027231C">
        <w:rPr>
          <w:rFonts w:ascii="Work Sans" w:hAnsi="Work Sans"/>
          <w:sz w:val="24"/>
          <w:szCs w:val="20"/>
        </w:rPr>
        <w:t>management pour les nouveaux directeurs d’unités</w:t>
      </w:r>
      <w:r w:rsidR="003E00AD" w:rsidRPr="0027231C">
        <w:rPr>
          <w:rFonts w:ascii="Work Sans" w:hAnsi="Work Sans"/>
          <w:sz w:val="24"/>
          <w:szCs w:val="20"/>
        </w:rPr>
        <w:t xml:space="preserve"> </w:t>
      </w:r>
      <w:r w:rsidR="000D608B" w:rsidRPr="0027231C">
        <w:rPr>
          <w:rFonts w:ascii="Work Sans" w:hAnsi="Work Sans"/>
          <w:sz w:val="24"/>
          <w:szCs w:val="20"/>
        </w:rPr>
        <w:t xml:space="preserve">; </w:t>
      </w:r>
      <w:r w:rsidR="00960F6D" w:rsidRPr="0027231C">
        <w:rPr>
          <w:rFonts w:ascii="Work Sans" w:hAnsi="Work Sans"/>
          <w:sz w:val="24"/>
          <w:szCs w:val="20"/>
        </w:rPr>
        <w:t>cela permettrait</w:t>
      </w:r>
      <w:r w:rsidR="003E00AD" w:rsidRPr="0027231C">
        <w:rPr>
          <w:rFonts w:ascii="Work Sans" w:hAnsi="Work Sans"/>
          <w:sz w:val="24"/>
          <w:szCs w:val="20"/>
        </w:rPr>
        <w:t xml:space="preserve"> </w:t>
      </w:r>
      <w:r w:rsidR="00960F6D" w:rsidRPr="0027231C">
        <w:rPr>
          <w:rFonts w:ascii="Work Sans" w:hAnsi="Work Sans"/>
          <w:sz w:val="24"/>
          <w:szCs w:val="20"/>
        </w:rPr>
        <w:t>de s’aligner sur les</w:t>
      </w:r>
      <w:r w:rsidR="000D608B" w:rsidRPr="0027231C">
        <w:rPr>
          <w:rFonts w:ascii="Work Sans" w:hAnsi="Work Sans"/>
          <w:sz w:val="24"/>
          <w:szCs w:val="20"/>
        </w:rPr>
        <w:t xml:space="preserve"> pratiques des </w:t>
      </w:r>
      <w:r w:rsidR="003E00AD" w:rsidRPr="0027231C">
        <w:rPr>
          <w:rFonts w:ascii="Work Sans" w:hAnsi="Work Sans"/>
          <w:sz w:val="24"/>
          <w:szCs w:val="20"/>
        </w:rPr>
        <w:t xml:space="preserve">organismes </w:t>
      </w:r>
      <w:r w:rsidR="000D608B" w:rsidRPr="0027231C">
        <w:rPr>
          <w:rFonts w:ascii="Work Sans" w:hAnsi="Work Sans"/>
          <w:sz w:val="24"/>
          <w:szCs w:val="20"/>
        </w:rPr>
        <w:t>partenaires CNRS, INSERM</w:t>
      </w:r>
      <w:r w:rsidR="00B211F8" w:rsidRPr="0027231C">
        <w:rPr>
          <w:rFonts w:ascii="Work Sans" w:hAnsi="Work Sans"/>
          <w:sz w:val="24"/>
          <w:szCs w:val="20"/>
        </w:rPr>
        <w:t xml:space="preserve"> ou </w:t>
      </w:r>
      <w:r w:rsidR="000D608B" w:rsidRPr="0027231C">
        <w:rPr>
          <w:rFonts w:ascii="Work Sans" w:hAnsi="Work Sans"/>
          <w:sz w:val="24"/>
          <w:szCs w:val="20"/>
        </w:rPr>
        <w:t>INRA.</w:t>
      </w:r>
      <w:r w:rsidR="00CC76B5">
        <w:rPr>
          <w:rFonts w:ascii="Work Sans" w:hAnsi="Work Sans"/>
          <w:sz w:val="24"/>
          <w:szCs w:val="20"/>
        </w:rPr>
        <w:t xml:space="preserve"> </w:t>
      </w:r>
    </w:p>
    <w:p w:rsidR="00CC76B5" w:rsidRDefault="00CC76B5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C76B5" w:rsidRDefault="00CC76B5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 également, assurer une meilleure communication sur les possibilités financières de prise en charge des</w:t>
      </w:r>
      <w:r w:rsidR="003E00AD">
        <w:rPr>
          <w:rFonts w:ascii="Work Sans" w:hAnsi="Work Sans"/>
          <w:sz w:val="24"/>
          <w:szCs w:val="20"/>
        </w:rPr>
        <w:t xml:space="preserve"> </w:t>
      </w:r>
      <w:r>
        <w:rPr>
          <w:rFonts w:ascii="Work Sans" w:hAnsi="Work Sans"/>
          <w:sz w:val="24"/>
          <w:szCs w:val="20"/>
        </w:rPr>
        <w:t>dites formations</w:t>
      </w:r>
      <w:r w:rsidR="006D6413">
        <w:rPr>
          <w:rFonts w:ascii="Work Sans" w:hAnsi="Work Sans"/>
          <w:sz w:val="24"/>
          <w:szCs w:val="20"/>
        </w:rPr>
        <w:t xml:space="preserve"> (</w:t>
      </w:r>
      <w:r w:rsidR="005726FE">
        <w:rPr>
          <w:rFonts w:ascii="Work Sans" w:hAnsi="Work Sans"/>
          <w:sz w:val="24"/>
          <w:szCs w:val="20"/>
        </w:rPr>
        <w:t xml:space="preserve">suite </w:t>
      </w:r>
      <w:r w:rsidR="006D6413">
        <w:rPr>
          <w:rFonts w:ascii="Work Sans" w:hAnsi="Work Sans"/>
          <w:sz w:val="24"/>
          <w:szCs w:val="20"/>
        </w:rPr>
        <w:t>passage en commission formation avec répartition possible moitié UT – moitié laboratoire).</w:t>
      </w:r>
    </w:p>
    <w:p w:rsidR="006D6413" w:rsidRDefault="006D6413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6D6413" w:rsidRDefault="006D6413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</w:t>
      </w:r>
      <w:r w:rsidR="005726FE">
        <w:rPr>
          <w:rFonts w:ascii="Work Sans" w:hAnsi="Work Sans"/>
          <w:sz w:val="24"/>
          <w:szCs w:val="20"/>
        </w:rPr>
        <w:t xml:space="preserve"> ne pas négliger et rappeler les possibilités d’accès à des formations plus « généralistes » : savoir animer/conduire une réunion, </w:t>
      </w:r>
      <w:r w:rsidR="00A12006">
        <w:rPr>
          <w:rFonts w:ascii="Work Sans" w:hAnsi="Work Sans"/>
          <w:sz w:val="24"/>
          <w:szCs w:val="20"/>
        </w:rPr>
        <w:t xml:space="preserve">droits, déontologie </w:t>
      </w:r>
      <w:r w:rsidR="00005248">
        <w:rPr>
          <w:rFonts w:ascii="Work Sans" w:hAnsi="Work Sans"/>
          <w:sz w:val="24"/>
          <w:szCs w:val="20"/>
        </w:rPr>
        <w:t>et obligations des</w:t>
      </w:r>
      <w:r w:rsidR="00A12006">
        <w:rPr>
          <w:rFonts w:ascii="Work Sans" w:hAnsi="Work Sans"/>
          <w:sz w:val="24"/>
          <w:szCs w:val="20"/>
        </w:rPr>
        <w:t xml:space="preserve"> agents publics, </w:t>
      </w:r>
      <w:r w:rsidR="00CA40E4">
        <w:rPr>
          <w:rFonts w:ascii="Work Sans" w:hAnsi="Work Sans"/>
          <w:sz w:val="24"/>
          <w:szCs w:val="20"/>
        </w:rPr>
        <w:t>pratiquer une communication bienveillante, mieux gérer son temps et ses priorités, etc</w:t>
      </w:r>
      <w:proofErr w:type="gramStart"/>
      <w:r w:rsidR="00CA40E4">
        <w:rPr>
          <w:rFonts w:ascii="Work Sans" w:hAnsi="Work Sans"/>
          <w:sz w:val="24"/>
          <w:szCs w:val="20"/>
        </w:rPr>
        <w:t>… .</w:t>
      </w:r>
      <w:proofErr w:type="gramEnd"/>
    </w:p>
    <w:p w:rsidR="00926FD5" w:rsidRDefault="00926FD5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926FD5" w:rsidRDefault="006C7104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 diffuser de manière plus large et rendre plus accessible le document explicatif pour la PEDR (</w:t>
      </w:r>
      <w:r w:rsidR="00660DC8">
        <w:rPr>
          <w:rFonts w:ascii="Work Sans" w:hAnsi="Work Sans"/>
          <w:sz w:val="24"/>
          <w:szCs w:val="20"/>
        </w:rPr>
        <w:t xml:space="preserve">rubrique à </w:t>
      </w:r>
      <w:r w:rsidR="00B71547">
        <w:rPr>
          <w:rFonts w:ascii="Work Sans" w:hAnsi="Work Sans"/>
          <w:sz w:val="24"/>
          <w:szCs w:val="20"/>
        </w:rPr>
        <w:t>prévoir sur le futur portail des EC</w:t>
      </w:r>
      <w:r>
        <w:rPr>
          <w:rFonts w:ascii="Work Sans" w:hAnsi="Work Sans"/>
          <w:sz w:val="24"/>
          <w:szCs w:val="20"/>
        </w:rPr>
        <w:t>)</w:t>
      </w:r>
      <w:r w:rsidR="00960F6D">
        <w:rPr>
          <w:rFonts w:ascii="Work Sans" w:hAnsi="Work Sans"/>
          <w:sz w:val="24"/>
          <w:szCs w:val="20"/>
        </w:rPr>
        <w:t>.</w:t>
      </w:r>
    </w:p>
    <w:p w:rsidR="000D608B" w:rsidRDefault="000D608B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1134F6" w:rsidRDefault="001134F6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27231C">
        <w:rPr>
          <w:rFonts w:ascii="Work Sans" w:hAnsi="Work Sans"/>
          <w:sz w:val="24"/>
          <w:szCs w:val="20"/>
        </w:rPr>
        <w:t xml:space="preserve">- </w:t>
      </w:r>
      <w:r w:rsidR="003F1D59">
        <w:rPr>
          <w:rFonts w:ascii="Work Sans" w:hAnsi="Work Sans"/>
          <w:sz w:val="24"/>
          <w:szCs w:val="20"/>
        </w:rPr>
        <w:t>dans le domaine de l’encadrement doctoral, poursuivre dans l’organisation régulière d</w:t>
      </w:r>
      <w:r w:rsidR="00E333EC" w:rsidRPr="0027231C">
        <w:rPr>
          <w:rFonts w:ascii="Work Sans" w:hAnsi="Work Sans"/>
          <w:sz w:val="24"/>
          <w:szCs w:val="20"/>
        </w:rPr>
        <w:t>es</w:t>
      </w:r>
      <w:r w:rsidR="003F1D59">
        <w:rPr>
          <w:rFonts w:ascii="Work Sans" w:hAnsi="Work Sans"/>
          <w:sz w:val="24"/>
          <w:szCs w:val="20"/>
        </w:rPr>
        <w:t xml:space="preserve"> séminaires de sensibilisation à la responsabilité professionnelle des HDR.</w:t>
      </w:r>
    </w:p>
    <w:p w:rsidR="00027CFB" w:rsidRDefault="00027CFB" w:rsidP="002E342A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1D735F" w:rsidRDefault="001D735F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3B467C">
        <w:rPr>
          <w:rFonts w:ascii="Work Sans" w:hAnsi="Work Sans"/>
          <w:sz w:val="24"/>
          <w:szCs w:val="20"/>
        </w:rPr>
        <w:t>le livret</w:t>
      </w:r>
      <w:r w:rsidR="00762E6C">
        <w:rPr>
          <w:rFonts w:ascii="Work Sans" w:hAnsi="Work Sans"/>
          <w:sz w:val="24"/>
          <w:szCs w:val="20"/>
        </w:rPr>
        <w:t>/guide</w:t>
      </w:r>
      <w:r w:rsidR="003B467C">
        <w:rPr>
          <w:rFonts w:ascii="Work Sans" w:hAnsi="Work Sans"/>
          <w:sz w:val="24"/>
          <w:szCs w:val="20"/>
        </w:rPr>
        <w:t xml:space="preserve"> « enseignant-chercheur »</w:t>
      </w:r>
      <w:r w:rsidR="00762E6C">
        <w:rPr>
          <w:rFonts w:ascii="Work Sans" w:hAnsi="Work Sans"/>
          <w:sz w:val="24"/>
          <w:szCs w:val="20"/>
        </w:rPr>
        <w:t>,</w:t>
      </w:r>
      <w:r w:rsidR="003B467C">
        <w:rPr>
          <w:rFonts w:ascii="Work Sans" w:hAnsi="Work Sans"/>
          <w:sz w:val="24"/>
          <w:szCs w:val="20"/>
        </w:rPr>
        <w:t xml:space="preserve"> </w:t>
      </w:r>
      <w:r w:rsidR="00762E6C">
        <w:rPr>
          <w:rFonts w:ascii="Work Sans" w:hAnsi="Work Sans"/>
          <w:sz w:val="24"/>
          <w:szCs w:val="20"/>
        </w:rPr>
        <w:t xml:space="preserve">déjà </w:t>
      </w:r>
      <w:r w:rsidR="003B467C">
        <w:rPr>
          <w:rFonts w:ascii="Work Sans" w:hAnsi="Work Sans"/>
          <w:sz w:val="24"/>
          <w:szCs w:val="20"/>
        </w:rPr>
        <w:t>mis en place dans d’autres</w:t>
      </w:r>
      <w:r w:rsidR="001D0C7F">
        <w:rPr>
          <w:rFonts w:ascii="Work Sans" w:hAnsi="Work Sans"/>
          <w:sz w:val="24"/>
          <w:szCs w:val="20"/>
        </w:rPr>
        <w:t xml:space="preserve"> </w:t>
      </w:r>
      <w:r w:rsidR="003B467C">
        <w:rPr>
          <w:rFonts w:ascii="Work Sans" w:hAnsi="Work Sans"/>
          <w:sz w:val="24"/>
          <w:szCs w:val="20"/>
        </w:rPr>
        <w:t>établissements</w:t>
      </w:r>
      <w:r w:rsidR="00762E6C">
        <w:rPr>
          <w:rFonts w:ascii="Work Sans" w:hAnsi="Work Sans"/>
          <w:sz w:val="24"/>
          <w:szCs w:val="20"/>
        </w:rPr>
        <w:t>,</w:t>
      </w:r>
      <w:r w:rsidR="003B467C">
        <w:rPr>
          <w:rFonts w:ascii="Work Sans" w:hAnsi="Work Sans"/>
          <w:sz w:val="24"/>
          <w:szCs w:val="20"/>
        </w:rPr>
        <w:t xml:space="preserve"> a été évoqué</w:t>
      </w:r>
      <w:r w:rsidR="00762E6C">
        <w:rPr>
          <w:rFonts w:ascii="Work Sans" w:hAnsi="Work Sans"/>
          <w:sz w:val="24"/>
          <w:szCs w:val="20"/>
        </w:rPr>
        <w:t>,</w:t>
      </w:r>
      <w:r w:rsidR="003B467C">
        <w:rPr>
          <w:rFonts w:ascii="Work Sans" w:hAnsi="Work Sans"/>
          <w:sz w:val="24"/>
          <w:szCs w:val="20"/>
        </w:rPr>
        <w:t xml:space="preserve"> mais finalement non retenu</w:t>
      </w:r>
      <w:r w:rsidR="00762E6C">
        <w:rPr>
          <w:rFonts w:ascii="Work Sans" w:hAnsi="Work Sans"/>
          <w:sz w:val="24"/>
          <w:szCs w:val="20"/>
        </w:rPr>
        <w:t>.</w:t>
      </w:r>
      <w:r w:rsidR="00C935C0">
        <w:rPr>
          <w:rFonts w:ascii="Work Sans" w:hAnsi="Work Sans"/>
          <w:sz w:val="24"/>
          <w:szCs w:val="20"/>
        </w:rPr>
        <w:t xml:space="preserve"> </w:t>
      </w:r>
      <w:r w:rsidR="00B211F8">
        <w:rPr>
          <w:rFonts w:ascii="Work Sans" w:hAnsi="Work Sans"/>
          <w:sz w:val="24"/>
          <w:szCs w:val="20"/>
        </w:rPr>
        <w:t>Dans l’immédiat, l</w:t>
      </w:r>
      <w:r w:rsidR="00C935C0">
        <w:rPr>
          <w:rFonts w:ascii="Work Sans" w:hAnsi="Work Sans"/>
          <w:sz w:val="24"/>
          <w:szCs w:val="20"/>
        </w:rPr>
        <w:t xml:space="preserve">’UT </w:t>
      </w:r>
      <w:r w:rsidR="00815171">
        <w:rPr>
          <w:rFonts w:ascii="Work Sans" w:hAnsi="Work Sans"/>
          <w:sz w:val="24"/>
          <w:szCs w:val="20"/>
        </w:rPr>
        <w:t xml:space="preserve">préfère </w:t>
      </w:r>
      <w:r w:rsidR="00C935C0">
        <w:rPr>
          <w:rFonts w:ascii="Work Sans" w:hAnsi="Work Sans"/>
          <w:sz w:val="24"/>
          <w:szCs w:val="20"/>
        </w:rPr>
        <w:t>fonctionne</w:t>
      </w:r>
      <w:r w:rsidR="00815171">
        <w:rPr>
          <w:rFonts w:ascii="Work Sans" w:hAnsi="Work Sans"/>
          <w:sz w:val="24"/>
          <w:szCs w:val="20"/>
        </w:rPr>
        <w:t>r</w:t>
      </w:r>
      <w:r w:rsidR="00C935C0">
        <w:rPr>
          <w:rFonts w:ascii="Work Sans" w:hAnsi="Work Sans"/>
          <w:sz w:val="24"/>
          <w:szCs w:val="20"/>
        </w:rPr>
        <w:t xml:space="preserve"> avec un système de fiches pratiques, plus synthétiques et ciblées, disponibles via l’Intranet.</w:t>
      </w:r>
      <w:r>
        <w:rPr>
          <w:rFonts w:ascii="Work Sans" w:hAnsi="Work Sans"/>
          <w:sz w:val="24"/>
          <w:szCs w:val="20"/>
        </w:rPr>
        <w:t xml:space="preserve"> </w:t>
      </w:r>
    </w:p>
    <w:p w:rsidR="00CE4161" w:rsidRDefault="00CE4161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935C0" w:rsidRDefault="00C935C0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935C0" w:rsidRPr="000B311D" w:rsidRDefault="00C935C0" w:rsidP="00C935C0">
      <w:pPr>
        <w:pStyle w:val="Paragraphedeliste"/>
        <w:numPr>
          <w:ilvl w:val="0"/>
          <w:numId w:val="2"/>
        </w:numPr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L’analyse de l’item 3</w:t>
      </w:r>
      <w:r>
        <w:rPr>
          <w:rFonts w:ascii="Work Sans" w:hAnsi="Work Sans"/>
          <w:b/>
          <w:sz w:val="24"/>
          <w:szCs w:val="20"/>
          <w:u w:val="single"/>
        </w:rPr>
        <w:t>8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 – </w:t>
      </w:r>
      <w:r>
        <w:rPr>
          <w:rFonts w:ascii="Work Sans" w:hAnsi="Work Sans"/>
          <w:b/>
          <w:sz w:val="24"/>
          <w:szCs w:val="20"/>
          <w:u w:val="single"/>
        </w:rPr>
        <w:t>Développement professionnel continu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, dresse les constats suivants : </w:t>
      </w:r>
    </w:p>
    <w:p w:rsidR="00C935C0" w:rsidRDefault="00C935C0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BE29F5" w:rsidRPr="00EA70A8" w:rsidRDefault="00BE29F5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  <w:highlight w:val="yellow"/>
        </w:rPr>
      </w:pPr>
      <w:r w:rsidRPr="00EA70A8">
        <w:rPr>
          <w:rFonts w:ascii="Work Sans" w:hAnsi="Work Sans"/>
          <w:sz w:val="24"/>
          <w:szCs w:val="20"/>
          <w:highlight w:val="yellow"/>
        </w:rPr>
        <w:t>- l’UT met en place et suit un plan de formation annuel complet et cadré, avec la possibilité de prendre en compte des demandes plus spécifiques si besoin</w:t>
      </w:r>
      <w:r w:rsidR="00B211F8" w:rsidRPr="00EA70A8">
        <w:rPr>
          <w:rFonts w:ascii="Work Sans" w:hAnsi="Work Sans"/>
          <w:sz w:val="24"/>
          <w:szCs w:val="20"/>
          <w:highlight w:val="yellow"/>
        </w:rPr>
        <w:t>.</w:t>
      </w:r>
      <w:r w:rsidR="000F12AD" w:rsidRPr="00EA70A8">
        <w:rPr>
          <w:rFonts w:ascii="Work Sans" w:hAnsi="Work Sans"/>
          <w:sz w:val="24"/>
          <w:szCs w:val="20"/>
          <w:highlight w:val="yellow"/>
        </w:rPr>
        <w:t xml:space="preserve"> Les agents contractuels ont également accès à l’ensemble des formations proposées.</w:t>
      </w:r>
    </w:p>
    <w:p w:rsidR="00BE29F5" w:rsidRPr="00EA70A8" w:rsidRDefault="00BE29F5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  <w:highlight w:val="yellow"/>
        </w:rPr>
      </w:pPr>
    </w:p>
    <w:p w:rsidR="001145C0" w:rsidRPr="00EA70A8" w:rsidRDefault="001145C0" w:rsidP="001145C0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EA70A8">
        <w:rPr>
          <w:rFonts w:ascii="Work Sans" w:hAnsi="Work Sans"/>
          <w:sz w:val="24"/>
          <w:szCs w:val="20"/>
          <w:highlight w:val="yellow"/>
        </w:rPr>
        <w:t xml:space="preserve">- le Congé pour Recherches ou Conversions Thématiques (CRCT) est proposé par l’établissement ; une dizaine de personnes en bénéficie chaque année. Il s’agit d’un CRCT « recherche », à distinguer du CRCT « pédagogique » moins </w:t>
      </w:r>
      <w:r w:rsidR="00305E92" w:rsidRPr="00EA70A8">
        <w:rPr>
          <w:rFonts w:ascii="Work Sans" w:hAnsi="Work Sans"/>
          <w:sz w:val="24"/>
          <w:szCs w:val="20"/>
          <w:highlight w:val="yellow"/>
        </w:rPr>
        <w:t>courant/</w:t>
      </w:r>
      <w:r w:rsidRPr="00EA70A8">
        <w:rPr>
          <w:rFonts w:ascii="Work Sans" w:hAnsi="Work Sans"/>
          <w:sz w:val="24"/>
          <w:szCs w:val="20"/>
          <w:highlight w:val="yellow"/>
        </w:rPr>
        <w:t>classique.</w:t>
      </w:r>
    </w:p>
    <w:p w:rsidR="00EF6D43" w:rsidRPr="00EA70A8" w:rsidRDefault="00EF6D43" w:rsidP="00EF6D43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EF6D43" w:rsidRPr="00EA70A8" w:rsidRDefault="00EF6D43" w:rsidP="00EF6D43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EA70A8">
        <w:rPr>
          <w:rFonts w:ascii="Work Sans" w:hAnsi="Work Sans"/>
          <w:sz w:val="24"/>
          <w:szCs w:val="20"/>
          <w:highlight w:val="yellow"/>
        </w:rPr>
        <w:t xml:space="preserve">- </w:t>
      </w:r>
      <w:r w:rsidR="00376671" w:rsidRPr="00EA70A8">
        <w:rPr>
          <w:rFonts w:ascii="Work Sans" w:hAnsi="Work Sans"/>
          <w:sz w:val="24"/>
          <w:szCs w:val="20"/>
          <w:highlight w:val="yellow"/>
        </w:rPr>
        <w:t>un plan de formation des doctorants est également en place, avec obligation d’y participer (</w:t>
      </w:r>
      <w:r w:rsidR="005279CA" w:rsidRPr="00EA70A8">
        <w:rPr>
          <w:rFonts w:ascii="Work Sans" w:hAnsi="Work Sans"/>
          <w:sz w:val="24"/>
          <w:szCs w:val="20"/>
          <w:highlight w:val="yellow"/>
        </w:rPr>
        <w:t xml:space="preserve">un doctorant devant </w:t>
      </w:r>
      <w:r w:rsidR="000701E8" w:rsidRPr="00EA70A8">
        <w:rPr>
          <w:rFonts w:ascii="Work Sans" w:hAnsi="Work Sans"/>
          <w:sz w:val="24"/>
          <w:szCs w:val="20"/>
          <w:highlight w:val="yellow"/>
        </w:rPr>
        <w:t xml:space="preserve">obligatoirement </w:t>
      </w:r>
      <w:r w:rsidR="005279CA" w:rsidRPr="00EA70A8">
        <w:rPr>
          <w:rFonts w:ascii="Work Sans" w:hAnsi="Work Sans"/>
          <w:sz w:val="24"/>
          <w:szCs w:val="20"/>
          <w:highlight w:val="yellow"/>
        </w:rPr>
        <w:t xml:space="preserve">valider </w:t>
      </w:r>
      <w:r w:rsidR="003F1D59" w:rsidRPr="00EA70A8">
        <w:rPr>
          <w:rFonts w:ascii="Work Sans" w:hAnsi="Work Sans"/>
          <w:sz w:val="24"/>
          <w:szCs w:val="20"/>
          <w:highlight w:val="yellow"/>
        </w:rPr>
        <w:t xml:space="preserve">100 </w:t>
      </w:r>
      <w:r w:rsidR="005279CA" w:rsidRPr="00EA70A8">
        <w:rPr>
          <w:rFonts w:ascii="Work Sans" w:hAnsi="Work Sans"/>
          <w:sz w:val="24"/>
          <w:szCs w:val="20"/>
          <w:highlight w:val="yellow"/>
        </w:rPr>
        <w:t xml:space="preserve">heures de </w:t>
      </w:r>
      <w:r w:rsidR="005279CA" w:rsidRPr="00EA70A8">
        <w:rPr>
          <w:rFonts w:ascii="Work Sans" w:hAnsi="Work Sans"/>
          <w:sz w:val="24"/>
          <w:szCs w:val="20"/>
          <w:highlight w:val="yellow"/>
        </w:rPr>
        <w:lastRenderedPageBreak/>
        <w:t xml:space="preserve">formation </w:t>
      </w:r>
      <w:r w:rsidR="000701E8" w:rsidRPr="00EA70A8">
        <w:rPr>
          <w:rFonts w:ascii="Work Sans" w:hAnsi="Work Sans"/>
          <w:sz w:val="24"/>
          <w:szCs w:val="20"/>
          <w:highlight w:val="yellow"/>
        </w:rPr>
        <w:t>avant de p</w:t>
      </w:r>
      <w:r w:rsidR="005279CA" w:rsidRPr="00EA70A8">
        <w:rPr>
          <w:rFonts w:ascii="Work Sans" w:hAnsi="Work Sans"/>
          <w:sz w:val="24"/>
          <w:szCs w:val="20"/>
          <w:highlight w:val="yellow"/>
        </w:rPr>
        <w:t>ouvoir soutenir sa thèse</w:t>
      </w:r>
      <w:r w:rsidR="00376671" w:rsidRPr="00EA70A8">
        <w:rPr>
          <w:rFonts w:ascii="Work Sans" w:hAnsi="Work Sans"/>
          <w:sz w:val="24"/>
          <w:szCs w:val="20"/>
          <w:highlight w:val="yellow"/>
        </w:rPr>
        <w:t>)</w:t>
      </w:r>
      <w:r w:rsidR="005279CA" w:rsidRPr="00EA70A8">
        <w:rPr>
          <w:rFonts w:ascii="Work Sans" w:hAnsi="Work Sans"/>
          <w:sz w:val="24"/>
          <w:szCs w:val="20"/>
          <w:highlight w:val="yellow"/>
        </w:rPr>
        <w:t xml:space="preserve"> : </w:t>
      </w:r>
      <w:hyperlink r:id="rId7" w:history="1">
        <w:r w:rsidR="005279CA" w:rsidRPr="00EA70A8">
          <w:rPr>
            <w:rStyle w:val="Lienhypertexte"/>
            <w:rFonts w:ascii="Work Sans" w:hAnsi="Work Sans"/>
            <w:sz w:val="24"/>
            <w:szCs w:val="20"/>
            <w:highlight w:val="yellow"/>
          </w:rPr>
          <w:t>https://collegedoctoral-cvl.fr/as/ed/CDCVL/formations.pl?site=CDCVL</w:t>
        </w:r>
      </w:hyperlink>
    </w:p>
    <w:p w:rsidR="000F039A" w:rsidRPr="00EA70A8" w:rsidRDefault="000F039A" w:rsidP="00EF6D43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0F039A" w:rsidRPr="00EA70A8" w:rsidRDefault="000F039A" w:rsidP="00BA2C24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  <w:r w:rsidRPr="00EA70A8">
        <w:rPr>
          <w:rFonts w:ascii="Work Sans" w:hAnsi="Work Sans"/>
          <w:sz w:val="24"/>
          <w:szCs w:val="20"/>
          <w:highlight w:val="yellow"/>
        </w:rPr>
        <w:t>- l’UT p</w:t>
      </w:r>
      <w:r w:rsidR="00BA2C24" w:rsidRPr="00EA70A8">
        <w:rPr>
          <w:rFonts w:ascii="Work Sans" w:hAnsi="Work Sans"/>
          <w:sz w:val="24"/>
          <w:szCs w:val="20"/>
          <w:highlight w:val="yellow"/>
        </w:rPr>
        <w:t xml:space="preserve">ropose </w:t>
      </w:r>
      <w:r w:rsidRPr="00EA70A8">
        <w:rPr>
          <w:rFonts w:ascii="Work Sans" w:hAnsi="Work Sans"/>
          <w:sz w:val="24"/>
          <w:szCs w:val="20"/>
          <w:highlight w:val="yellow"/>
        </w:rPr>
        <w:t xml:space="preserve">la possibilité de présenter simplement un ensemble de </w:t>
      </w:r>
      <w:r w:rsidR="00BA2C24" w:rsidRPr="00EA70A8">
        <w:rPr>
          <w:rFonts w:ascii="Work Sans" w:hAnsi="Work Sans"/>
          <w:sz w:val="24"/>
          <w:szCs w:val="20"/>
          <w:highlight w:val="yellow"/>
        </w:rPr>
        <w:t xml:space="preserve">recherches </w:t>
      </w:r>
      <w:r w:rsidRPr="00EA70A8">
        <w:rPr>
          <w:rFonts w:ascii="Work Sans" w:hAnsi="Work Sans"/>
          <w:sz w:val="24"/>
          <w:szCs w:val="20"/>
          <w:highlight w:val="yellow"/>
        </w:rPr>
        <w:t>scientifiques dans le cadre d’une « thèse sur travaux »</w:t>
      </w:r>
      <w:r w:rsidR="00BA2C24" w:rsidRPr="00EA70A8">
        <w:rPr>
          <w:rFonts w:ascii="Work Sans" w:hAnsi="Work Sans"/>
          <w:sz w:val="24"/>
          <w:szCs w:val="20"/>
          <w:highlight w:val="yellow"/>
        </w:rPr>
        <w:t> ; elle permet</w:t>
      </w:r>
      <w:r w:rsidR="00154BF4" w:rsidRPr="00EA70A8">
        <w:rPr>
          <w:rFonts w:ascii="Work Sans" w:hAnsi="Work Sans"/>
          <w:sz w:val="24"/>
          <w:szCs w:val="20"/>
          <w:highlight w:val="yellow"/>
        </w:rPr>
        <w:t xml:space="preserve"> </w:t>
      </w:r>
      <w:r w:rsidR="00BA2C24" w:rsidRPr="00EA70A8">
        <w:rPr>
          <w:rFonts w:ascii="Work Sans" w:hAnsi="Work Sans"/>
          <w:sz w:val="24"/>
          <w:szCs w:val="20"/>
          <w:highlight w:val="yellow"/>
        </w:rPr>
        <w:t>l'obtention d</w:t>
      </w:r>
      <w:r w:rsidR="00154BF4" w:rsidRPr="00EA70A8">
        <w:rPr>
          <w:rFonts w:ascii="Work Sans" w:hAnsi="Work Sans"/>
          <w:sz w:val="24"/>
          <w:szCs w:val="20"/>
          <w:highlight w:val="yellow"/>
        </w:rPr>
        <w:t>’</w:t>
      </w:r>
      <w:r w:rsidR="00BA2C24" w:rsidRPr="00EA70A8">
        <w:rPr>
          <w:rFonts w:ascii="Work Sans" w:hAnsi="Work Sans"/>
          <w:sz w:val="24"/>
          <w:szCs w:val="20"/>
          <w:highlight w:val="yellow"/>
        </w:rPr>
        <w:t>u</w:t>
      </w:r>
      <w:r w:rsidR="00154BF4" w:rsidRPr="00EA70A8">
        <w:rPr>
          <w:rFonts w:ascii="Work Sans" w:hAnsi="Work Sans"/>
          <w:sz w:val="24"/>
          <w:szCs w:val="20"/>
          <w:highlight w:val="yellow"/>
        </w:rPr>
        <w:t>n</w:t>
      </w:r>
      <w:r w:rsidR="00BA2C24" w:rsidRPr="00EA70A8">
        <w:rPr>
          <w:rFonts w:ascii="Work Sans" w:hAnsi="Work Sans"/>
          <w:sz w:val="24"/>
          <w:szCs w:val="20"/>
          <w:highlight w:val="yellow"/>
        </w:rPr>
        <w:t xml:space="preserve"> doctorat sur la base de travaux de recherche personnels réalisés par le candidat antérieurement à son inscription à l'université</w:t>
      </w:r>
      <w:r w:rsidRPr="00EA70A8">
        <w:rPr>
          <w:rFonts w:ascii="Work Sans" w:hAnsi="Work Sans"/>
          <w:sz w:val="24"/>
          <w:szCs w:val="20"/>
          <w:highlight w:val="yellow"/>
        </w:rPr>
        <w:t xml:space="preserve"> (à ne pas confondre avec le doctorat sur VAE)</w:t>
      </w:r>
      <w:r w:rsidR="009747E7" w:rsidRPr="00EA70A8">
        <w:rPr>
          <w:rFonts w:ascii="Work Sans" w:hAnsi="Work Sans"/>
          <w:sz w:val="24"/>
          <w:szCs w:val="20"/>
          <w:highlight w:val="yellow"/>
        </w:rPr>
        <w:t xml:space="preserve"> : </w:t>
      </w:r>
      <w:hyperlink r:id="rId8" w:history="1">
        <w:r w:rsidR="0027231C" w:rsidRPr="00EA70A8">
          <w:rPr>
            <w:rStyle w:val="Lienhypertexte"/>
            <w:rFonts w:ascii="Work Sans" w:hAnsi="Work Sans"/>
            <w:sz w:val="24"/>
            <w:szCs w:val="20"/>
            <w:highlight w:val="yellow"/>
          </w:rPr>
          <w:t>https://collegedoctoral-cvl.fr/as/ed/page.pl?site=CDCVL&amp;page=procedures</w:t>
        </w:r>
      </w:hyperlink>
    </w:p>
    <w:p w:rsidR="00BE29F5" w:rsidRPr="00EA70A8" w:rsidRDefault="00BE29F5" w:rsidP="00EF6D43">
      <w:pPr>
        <w:pStyle w:val="Paragraphedeliste"/>
        <w:ind w:left="360"/>
        <w:jc w:val="both"/>
        <w:rPr>
          <w:rFonts w:ascii="Work Sans" w:hAnsi="Work Sans"/>
          <w:sz w:val="24"/>
          <w:szCs w:val="20"/>
          <w:highlight w:val="yellow"/>
        </w:rPr>
      </w:pPr>
    </w:p>
    <w:p w:rsidR="00EF6D43" w:rsidRDefault="00BE29F5" w:rsidP="004D79E9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 w:rsidRPr="00EA70A8">
        <w:rPr>
          <w:rFonts w:ascii="Work Sans" w:hAnsi="Work Sans"/>
          <w:color w:val="000000" w:themeColor="text1"/>
          <w:sz w:val="24"/>
          <w:szCs w:val="20"/>
          <w:highlight w:val="yellow"/>
        </w:rPr>
        <w:t xml:space="preserve">- </w:t>
      </w:r>
      <w:r w:rsidR="001D5A26" w:rsidRPr="00EA70A8">
        <w:rPr>
          <w:rFonts w:ascii="Work Sans" w:hAnsi="Work Sans"/>
          <w:color w:val="000000" w:themeColor="text1"/>
          <w:sz w:val="24"/>
          <w:szCs w:val="20"/>
          <w:highlight w:val="yellow"/>
        </w:rPr>
        <w:t>l’</w:t>
      </w:r>
      <w:r w:rsidR="004D79E9" w:rsidRPr="00EA70A8">
        <w:rPr>
          <w:rFonts w:ascii="Work Sans" w:hAnsi="Work Sans"/>
          <w:color w:val="000000" w:themeColor="text1"/>
          <w:sz w:val="24"/>
          <w:szCs w:val="20"/>
          <w:highlight w:val="yellow"/>
        </w:rPr>
        <w:t>existence d’un Centre d’Accompagnement à la Pédagogie pour les Enseignants (CAPE) destiné à l’amélioration continue des formations, qui s’appuie sur deux pôles complémentaires pour atteindre un même objectif : un pôle accompagnement à la pédagogie et un p</w:t>
      </w:r>
      <w:r w:rsidR="004D79E9" w:rsidRPr="00EA70A8">
        <w:rPr>
          <w:rFonts w:ascii="Work Sans" w:hAnsi="Work Sans"/>
          <w:sz w:val="24"/>
          <w:szCs w:val="20"/>
          <w:highlight w:val="yellow"/>
        </w:rPr>
        <w:t>ôle qualité des formations.</w:t>
      </w:r>
      <w:r w:rsidR="001D5A26" w:rsidRPr="00EA70A8">
        <w:rPr>
          <w:rFonts w:ascii="Work Sans" w:hAnsi="Work Sans"/>
          <w:sz w:val="24"/>
          <w:szCs w:val="20"/>
          <w:highlight w:val="yellow"/>
        </w:rPr>
        <w:t xml:space="preserve"> A noter que le</w:t>
      </w:r>
      <w:r w:rsidR="000701E8" w:rsidRPr="00EA70A8">
        <w:rPr>
          <w:rFonts w:ascii="Work Sans" w:hAnsi="Work Sans"/>
          <w:sz w:val="24"/>
          <w:szCs w:val="20"/>
          <w:highlight w:val="yellow"/>
        </w:rPr>
        <w:t>s formations du</w:t>
      </w:r>
      <w:r w:rsidR="001D5A26" w:rsidRPr="00EA70A8">
        <w:rPr>
          <w:rFonts w:ascii="Work Sans" w:hAnsi="Work Sans"/>
          <w:sz w:val="24"/>
          <w:szCs w:val="20"/>
          <w:highlight w:val="yellow"/>
        </w:rPr>
        <w:t xml:space="preserve"> CAPE </w:t>
      </w:r>
      <w:r w:rsidR="000701E8" w:rsidRPr="00EA70A8">
        <w:rPr>
          <w:rFonts w:ascii="Work Sans" w:hAnsi="Work Sans"/>
          <w:sz w:val="24"/>
          <w:szCs w:val="20"/>
          <w:highlight w:val="yellow"/>
        </w:rPr>
        <w:t xml:space="preserve">sont </w:t>
      </w:r>
      <w:r w:rsidR="001D5A26" w:rsidRPr="00EA70A8">
        <w:rPr>
          <w:rFonts w:ascii="Work Sans" w:hAnsi="Work Sans"/>
          <w:sz w:val="24"/>
          <w:szCs w:val="20"/>
          <w:highlight w:val="yellow"/>
        </w:rPr>
        <w:t>ouvert</w:t>
      </w:r>
      <w:r w:rsidR="000701E8" w:rsidRPr="00EA70A8">
        <w:rPr>
          <w:rFonts w:ascii="Work Sans" w:hAnsi="Work Sans"/>
          <w:sz w:val="24"/>
          <w:szCs w:val="20"/>
          <w:highlight w:val="yellow"/>
        </w:rPr>
        <w:t>es</w:t>
      </w:r>
      <w:r w:rsidR="001D5A26" w:rsidRPr="00EA70A8">
        <w:rPr>
          <w:rFonts w:ascii="Work Sans" w:hAnsi="Work Sans"/>
          <w:sz w:val="24"/>
          <w:szCs w:val="20"/>
          <w:highlight w:val="yellow"/>
        </w:rPr>
        <w:t xml:space="preserve"> à tous et obligatoire</w:t>
      </w:r>
      <w:r w:rsidR="000701E8" w:rsidRPr="00EA70A8">
        <w:rPr>
          <w:rFonts w:ascii="Work Sans" w:hAnsi="Work Sans"/>
          <w:sz w:val="24"/>
          <w:szCs w:val="20"/>
          <w:highlight w:val="yellow"/>
        </w:rPr>
        <w:t>s</w:t>
      </w:r>
      <w:r w:rsidR="001D5A26" w:rsidRPr="00EA70A8">
        <w:rPr>
          <w:rFonts w:ascii="Work Sans" w:hAnsi="Work Sans"/>
          <w:sz w:val="24"/>
          <w:szCs w:val="20"/>
          <w:highlight w:val="yellow"/>
        </w:rPr>
        <w:t xml:space="preserve"> pour les nouveaux arrivants tels que les MCF stagiaires.</w:t>
      </w:r>
      <w:bookmarkStart w:id="0" w:name="_GoBack"/>
      <w:bookmarkEnd w:id="0"/>
    </w:p>
    <w:p w:rsidR="00C935C0" w:rsidRDefault="00C935C0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935C0" w:rsidRPr="000B311D" w:rsidRDefault="00C935C0" w:rsidP="00C935C0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Item 3</w:t>
      </w:r>
      <w:r>
        <w:rPr>
          <w:rFonts w:ascii="Work Sans" w:hAnsi="Work Sans"/>
          <w:b/>
          <w:sz w:val="24"/>
          <w:szCs w:val="20"/>
          <w:u w:val="single"/>
        </w:rPr>
        <w:t>8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 - Les écarts décelés et les propositions d’action(s) :</w:t>
      </w:r>
    </w:p>
    <w:p w:rsidR="00C935C0" w:rsidRDefault="00C935C0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0F12AD" w:rsidRPr="000701E8" w:rsidRDefault="000F12AD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i/>
          <w:sz w:val="24"/>
          <w:szCs w:val="20"/>
        </w:rPr>
      </w:pPr>
      <w:r>
        <w:rPr>
          <w:rFonts w:ascii="Work Sans" w:hAnsi="Work Sans"/>
          <w:sz w:val="24"/>
          <w:szCs w:val="20"/>
        </w:rPr>
        <w:t>-  pour un accès à l’information plus aisé et une meilleure lisibilité, développer un portail d’informations web</w:t>
      </w:r>
      <w:r w:rsidR="006025D7">
        <w:rPr>
          <w:rFonts w:ascii="Work Sans" w:hAnsi="Work Sans"/>
          <w:sz w:val="24"/>
          <w:szCs w:val="20"/>
        </w:rPr>
        <w:t xml:space="preserve"> </w:t>
      </w:r>
      <w:r>
        <w:rPr>
          <w:rFonts w:ascii="Work Sans" w:hAnsi="Work Sans"/>
          <w:sz w:val="24"/>
          <w:szCs w:val="20"/>
        </w:rPr>
        <w:t xml:space="preserve">spécifiquement destiné aux chercheurs : appels à projets, mobilité nationale et internationale, formations, PEDR, </w:t>
      </w:r>
      <w:r w:rsidR="006025D7">
        <w:rPr>
          <w:rFonts w:ascii="Work Sans" w:hAnsi="Work Sans"/>
          <w:sz w:val="24"/>
          <w:szCs w:val="20"/>
        </w:rPr>
        <w:t>CRCT recherche et CRCT pédagogique,</w:t>
      </w:r>
      <w:r w:rsidR="00F144C1">
        <w:rPr>
          <w:rFonts w:ascii="Work Sans" w:hAnsi="Work Sans"/>
          <w:sz w:val="24"/>
          <w:szCs w:val="20"/>
        </w:rPr>
        <w:t xml:space="preserve"> CAPE,</w:t>
      </w:r>
      <w:r w:rsidR="006025D7">
        <w:rPr>
          <w:rFonts w:ascii="Work Sans" w:hAnsi="Work Sans"/>
          <w:sz w:val="24"/>
          <w:szCs w:val="20"/>
        </w:rPr>
        <w:t xml:space="preserve"> </w:t>
      </w:r>
      <w:r>
        <w:rPr>
          <w:rFonts w:ascii="Work Sans" w:hAnsi="Work Sans"/>
          <w:sz w:val="24"/>
          <w:szCs w:val="20"/>
        </w:rPr>
        <w:t xml:space="preserve">etc… </w:t>
      </w:r>
      <w:r w:rsidRPr="000F12AD">
        <w:rPr>
          <w:rFonts w:ascii="Work Sans" w:hAnsi="Work Sans"/>
          <w:sz w:val="24"/>
          <w:szCs w:val="20"/>
        </w:rPr>
        <w:sym w:font="Wingdings" w:char="F0E0"/>
      </w:r>
      <w:r>
        <w:rPr>
          <w:rFonts w:ascii="Work Sans" w:hAnsi="Work Sans"/>
          <w:sz w:val="24"/>
          <w:szCs w:val="20"/>
        </w:rPr>
        <w:t xml:space="preserve"> un portail unique</w:t>
      </w:r>
      <w:r w:rsidR="006025D7">
        <w:rPr>
          <w:rFonts w:ascii="Work Sans" w:hAnsi="Work Sans"/>
          <w:sz w:val="24"/>
          <w:szCs w:val="20"/>
        </w:rPr>
        <w:t xml:space="preserve"> transversal</w:t>
      </w:r>
      <w:r>
        <w:rPr>
          <w:rFonts w:ascii="Work Sans" w:hAnsi="Work Sans"/>
          <w:sz w:val="24"/>
          <w:szCs w:val="20"/>
        </w:rPr>
        <w:t xml:space="preserve"> centralisant toutes les informations importantes et utiles, actualités comme archives. </w:t>
      </w:r>
      <w:r w:rsidR="00573671" w:rsidRPr="000701E8">
        <w:rPr>
          <w:rFonts w:ascii="Work Sans" w:hAnsi="Work Sans"/>
          <w:i/>
          <w:sz w:val="24"/>
          <w:szCs w:val="20"/>
        </w:rPr>
        <w:t>A noter que la gestion dudit portail nécessiterait vraisemblablement 1 ETP.</w:t>
      </w:r>
    </w:p>
    <w:p w:rsidR="000F039A" w:rsidRDefault="000F039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2C5C7B" w:rsidRDefault="002C5C7B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816F0A" w:rsidRDefault="00816F0A" w:rsidP="00816F0A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b/>
          <w:sz w:val="24"/>
          <w:szCs w:val="20"/>
          <w:u w:val="single"/>
        </w:rPr>
        <w:t xml:space="preserve">Retour sur le compte-rendu du </w:t>
      </w:r>
      <w:r w:rsidR="00C22AAC">
        <w:rPr>
          <w:rFonts w:ascii="Work Sans" w:hAnsi="Work Sans"/>
          <w:b/>
          <w:sz w:val="24"/>
          <w:szCs w:val="20"/>
          <w:u w:val="single"/>
        </w:rPr>
        <w:t>4/09/2019</w:t>
      </w:r>
      <w:r>
        <w:rPr>
          <w:rFonts w:ascii="Work Sans" w:hAnsi="Work Sans"/>
          <w:b/>
          <w:sz w:val="24"/>
          <w:szCs w:val="20"/>
          <w:u w:val="single"/>
        </w:rPr>
        <w:t xml:space="preserve"> </w:t>
      </w:r>
      <w:r w:rsidRPr="000B311D">
        <w:rPr>
          <w:rFonts w:ascii="Work Sans" w:hAnsi="Work Sans"/>
          <w:b/>
          <w:sz w:val="24"/>
          <w:szCs w:val="20"/>
          <w:u w:val="single"/>
        </w:rPr>
        <w:t>:</w:t>
      </w:r>
    </w:p>
    <w:p w:rsidR="00816F0A" w:rsidRDefault="00816F0A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3C2CFD" w:rsidRDefault="003C2CFD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0F12AD">
        <w:rPr>
          <w:rFonts w:ascii="Work Sans" w:hAnsi="Work Sans"/>
          <w:sz w:val="24"/>
          <w:szCs w:val="20"/>
        </w:rPr>
        <w:t>- correction</w:t>
      </w:r>
      <w:r w:rsidR="00104861">
        <w:rPr>
          <w:rFonts w:ascii="Work Sans" w:hAnsi="Work Sans"/>
          <w:sz w:val="24"/>
          <w:szCs w:val="20"/>
        </w:rPr>
        <w:t xml:space="preserve"> à effe</w:t>
      </w:r>
      <w:r w:rsidRPr="000F12AD">
        <w:rPr>
          <w:rFonts w:ascii="Work Sans" w:hAnsi="Work Sans"/>
          <w:sz w:val="24"/>
          <w:szCs w:val="20"/>
        </w:rPr>
        <w:t xml:space="preserve">ctuer s’agissant des missions d’enseignement des doctorants : </w:t>
      </w:r>
    </w:p>
    <w:tbl>
      <w:tblPr>
        <w:tblpPr w:leftFromText="141" w:rightFromText="141" w:vertAnchor="text" w:horzAnchor="page" w:tblpXSpec="center" w:tblpY="304"/>
        <w:tblW w:w="878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721"/>
        <w:gridCol w:w="1824"/>
        <w:gridCol w:w="1824"/>
        <w:gridCol w:w="1815"/>
      </w:tblGrid>
      <w:tr w:rsidR="00104861" w:rsidRPr="00104861" w:rsidTr="00104861">
        <w:trPr>
          <w:trHeight w:val="228"/>
          <w:jc w:val="center"/>
        </w:trPr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Année universitaire</w:t>
            </w:r>
          </w:p>
        </w:tc>
        <w:tc>
          <w:tcPr>
            <w:tcW w:w="17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1ère année de thèse</w:t>
            </w:r>
          </w:p>
        </w:tc>
        <w:tc>
          <w:tcPr>
            <w:tcW w:w="18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2ème année de thèse</w:t>
            </w:r>
          </w:p>
        </w:tc>
        <w:tc>
          <w:tcPr>
            <w:tcW w:w="18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3ème année de thèse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B4C6E7" w:themeFill="accent5" w:themeFillTint="66"/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Total</w:t>
            </w:r>
          </w:p>
        </w:tc>
      </w:tr>
      <w:tr w:rsidR="00104861" w:rsidRPr="00104861" w:rsidTr="00104861">
        <w:trPr>
          <w:trHeight w:val="422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2016/2017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8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</w:tr>
      <w:tr w:rsidR="00104861" w:rsidRPr="00104861" w:rsidTr="00104861">
        <w:trPr>
          <w:trHeight w:val="422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2017/2018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81</w:t>
            </w:r>
          </w:p>
        </w:tc>
      </w:tr>
      <w:tr w:rsidR="00104861" w:rsidRPr="00104861" w:rsidTr="00104861">
        <w:trPr>
          <w:trHeight w:val="422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2018/2019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</w:t>
            </w:r>
          </w:p>
        </w:tc>
      </w:tr>
      <w:tr w:rsidR="00104861" w:rsidRPr="00104861" w:rsidTr="00104861">
        <w:trPr>
          <w:trHeight w:val="422"/>
          <w:jc w:val="center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2019/2020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4861" w:rsidRPr="00104861" w:rsidRDefault="00104861" w:rsidP="0010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0486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</w:tr>
    </w:tbl>
    <w:p w:rsidR="00104861" w:rsidRDefault="00104861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104861" w:rsidRPr="00104861" w:rsidRDefault="00104861" w:rsidP="0010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861" w:rsidRPr="00104861" w:rsidRDefault="00104861" w:rsidP="0010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861" w:rsidRPr="00104861" w:rsidRDefault="00104861" w:rsidP="0010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04861" w:rsidRDefault="00104861" w:rsidP="0010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104861" w:rsidRDefault="00104861" w:rsidP="0010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104861" w:rsidRDefault="00104861" w:rsidP="0010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104861" w:rsidRDefault="00104861" w:rsidP="0010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104861" w:rsidRDefault="00104861" w:rsidP="0010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082F64" w:rsidRDefault="00082F64" w:rsidP="00104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</w:p>
    <w:p w:rsidR="00082F64" w:rsidRDefault="00082F64" w:rsidP="00082F64">
      <w:pPr>
        <w:spacing w:after="0" w:line="240" w:lineRule="auto"/>
        <w:rPr>
          <w:rFonts w:ascii="Work Sans" w:eastAsia="Times New Roman" w:hAnsi="Work Sans" w:cs="Times New Roman"/>
          <w:sz w:val="24"/>
          <w:szCs w:val="24"/>
          <w:u w:val="single"/>
          <w:lang w:eastAsia="fr-FR"/>
        </w:rPr>
      </w:pPr>
    </w:p>
    <w:p w:rsidR="00082F64" w:rsidRPr="00104861" w:rsidRDefault="00082F64" w:rsidP="00082F64">
      <w:pPr>
        <w:spacing w:after="0" w:line="240" w:lineRule="auto"/>
        <w:ind w:left="360"/>
        <w:jc w:val="both"/>
        <w:rPr>
          <w:rFonts w:ascii="Work Sans" w:eastAsia="Times New Roman" w:hAnsi="Work Sans" w:cs="Times New Roman"/>
          <w:sz w:val="24"/>
          <w:szCs w:val="24"/>
          <w:lang w:eastAsia="fr-FR"/>
        </w:rPr>
      </w:pPr>
      <w:r>
        <w:rPr>
          <w:rFonts w:ascii="Work Sans" w:eastAsia="Times New Roman" w:hAnsi="Work Sans" w:cs="Times New Roman"/>
          <w:sz w:val="24"/>
          <w:szCs w:val="24"/>
          <w:lang w:eastAsia="fr-FR"/>
        </w:rPr>
        <w:t>U</w:t>
      </w:r>
      <w:r w:rsidRPr="00104861">
        <w:rPr>
          <w:rFonts w:ascii="Work Sans" w:eastAsia="Times New Roman" w:hAnsi="Work Sans" w:cs="Times New Roman"/>
          <w:sz w:val="24"/>
          <w:szCs w:val="24"/>
          <w:lang w:eastAsia="fr-FR"/>
        </w:rPr>
        <w:t>ne vingtaine de doctorants contractuels 1</w:t>
      </w:r>
      <w:r w:rsidRPr="00104861">
        <w:rPr>
          <w:rFonts w:ascii="Work Sans" w:eastAsia="Times New Roman" w:hAnsi="Work Sans" w:cs="Times New Roman"/>
          <w:sz w:val="24"/>
          <w:szCs w:val="24"/>
          <w:vertAlign w:val="superscript"/>
          <w:lang w:eastAsia="fr-FR"/>
        </w:rPr>
        <w:t>ère</w:t>
      </w:r>
      <w:r>
        <w:rPr>
          <w:rFonts w:ascii="Work Sans" w:eastAsia="Times New Roman" w:hAnsi="Work Sans" w:cs="Times New Roman"/>
          <w:sz w:val="24"/>
          <w:szCs w:val="24"/>
          <w:lang w:eastAsia="fr-FR"/>
        </w:rPr>
        <w:t xml:space="preserve"> </w:t>
      </w:r>
      <w:r w:rsidRPr="00104861">
        <w:rPr>
          <w:rFonts w:ascii="Work Sans" w:eastAsia="Times New Roman" w:hAnsi="Work Sans" w:cs="Times New Roman"/>
          <w:sz w:val="24"/>
          <w:szCs w:val="24"/>
          <w:lang w:eastAsia="fr-FR"/>
        </w:rPr>
        <w:t>année par an font de l'enseignement</w:t>
      </w:r>
      <w:r>
        <w:rPr>
          <w:rFonts w:ascii="Work Sans" w:eastAsia="Times New Roman" w:hAnsi="Work Sans" w:cs="Times New Roman"/>
          <w:sz w:val="24"/>
          <w:szCs w:val="24"/>
          <w:lang w:eastAsia="fr-FR"/>
        </w:rPr>
        <w:t>,</w:t>
      </w:r>
      <w:r w:rsidRPr="00104861">
        <w:rPr>
          <w:rFonts w:ascii="Work Sans" w:eastAsia="Times New Roman" w:hAnsi="Work Sans" w:cs="Times New Roman"/>
          <w:sz w:val="24"/>
          <w:szCs w:val="24"/>
          <w:lang w:eastAsia="fr-FR"/>
        </w:rPr>
        <w:t xml:space="preserve"> et entre 75 et 80 au total </w:t>
      </w:r>
      <w:r>
        <w:rPr>
          <w:rFonts w:ascii="Work Sans" w:eastAsia="Times New Roman" w:hAnsi="Work Sans" w:cs="Times New Roman"/>
          <w:sz w:val="24"/>
          <w:szCs w:val="24"/>
          <w:lang w:eastAsia="fr-FR"/>
        </w:rPr>
        <w:t>toutes années de thèse/contrat confondues</w:t>
      </w:r>
      <w:r w:rsidRPr="00104861">
        <w:rPr>
          <w:rFonts w:ascii="Work Sans" w:eastAsia="Times New Roman" w:hAnsi="Work Sans" w:cs="Times New Roman"/>
          <w:sz w:val="24"/>
          <w:szCs w:val="24"/>
          <w:lang w:eastAsia="fr-FR"/>
        </w:rPr>
        <w:t>.</w:t>
      </w:r>
      <w:r>
        <w:rPr>
          <w:rFonts w:ascii="Work Sans" w:eastAsia="Times New Roman" w:hAnsi="Work Sans" w:cs="Times New Roman"/>
          <w:sz w:val="24"/>
          <w:szCs w:val="24"/>
          <w:lang w:eastAsia="fr-FR"/>
        </w:rPr>
        <w:t xml:space="preserve"> </w:t>
      </w:r>
      <w:r w:rsidRPr="00104861">
        <w:rPr>
          <w:rFonts w:ascii="Work Sans" w:eastAsia="Times New Roman" w:hAnsi="Work Sans" w:cs="Times New Roman"/>
          <w:sz w:val="24"/>
          <w:szCs w:val="24"/>
          <w:lang w:eastAsia="fr-FR"/>
        </w:rPr>
        <w:t>Pour ce public</w:t>
      </w:r>
      <w:r>
        <w:rPr>
          <w:rFonts w:ascii="Work Sans" w:eastAsia="Times New Roman" w:hAnsi="Work Sans" w:cs="Times New Roman"/>
          <w:sz w:val="24"/>
          <w:szCs w:val="24"/>
          <w:lang w:eastAsia="fr-FR"/>
        </w:rPr>
        <w:t>,</w:t>
      </w:r>
      <w:r w:rsidRPr="00104861">
        <w:rPr>
          <w:rFonts w:ascii="Work Sans" w:eastAsia="Times New Roman" w:hAnsi="Work Sans" w:cs="Times New Roman"/>
          <w:sz w:val="24"/>
          <w:szCs w:val="24"/>
          <w:lang w:eastAsia="fr-FR"/>
        </w:rPr>
        <w:t xml:space="preserve"> plusieurs modules de formation sont mis en place et ont un caractère obligatoire.</w:t>
      </w:r>
    </w:p>
    <w:p w:rsidR="00082F64" w:rsidRDefault="00082F64" w:rsidP="00082F64">
      <w:pPr>
        <w:spacing w:after="0" w:line="240" w:lineRule="auto"/>
        <w:rPr>
          <w:rFonts w:ascii="Work Sans" w:eastAsia="Times New Roman" w:hAnsi="Work Sans" w:cs="Times New Roman"/>
          <w:sz w:val="24"/>
          <w:szCs w:val="24"/>
          <w:u w:val="single"/>
          <w:lang w:eastAsia="fr-FR"/>
        </w:rPr>
      </w:pPr>
    </w:p>
    <w:p w:rsidR="00104861" w:rsidRDefault="00082F64" w:rsidP="00082F64">
      <w:pPr>
        <w:spacing w:after="0" w:line="240" w:lineRule="auto"/>
        <w:ind w:left="360"/>
        <w:jc w:val="both"/>
        <w:rPr>
          <w:rFonts w:ascii="Work Sans" w:eastAsia="Times New Roman" w:hAnsi="Work Sans" w:cs="Times New Roman"/>
          <w:sz w:val="24"/>
          <w:szCs w:val="24"/>
          <w:lang w:eastAsia="fr-FR"/>
        </w:rPr>
      </w:pPr>
      <w:r>
        <w:rPr>
          <w:rFonts w:ascii="Work Sans" w:eastAsia="Times New Roman" w:hAnsi="Work Sans" w:cs="Times New Roman"/>
          <w:sz w:val="24"/>
          <w:szCs w:val="24"/>
          <w:lang w:eastAsia="fr-FR"/>
        </w:rPr>
        <w:t>A noter que, s</w:t>
      </w:r>
      <w:r w:rsidR="00104861" w:rsidRPr="00104861">
        <w:rPr>
          <w:rFonts w:ascii="Work Sans" w:eastAsia="Times New Roman" w:hAnsi="Work Sans" w:cs="Times New Roman"/>
          <w:sz w:val="24"/>
          <w:szCs w:val="24"/>
          <w:lang w:eastAsia="fr-FR"/>
        </w:rPr>
        <w:t>ur les années 2016-2017 et 2017-2018 sont comptabilisés les doctorants avec chapeaux de moniteur (64H) et doctorants décret 2016 avec de l'enseignement (entre 1 et 64H)</w:t>
      </w:r>
      <w:r>
        <w:rPr>
          <w:rFonts w:ascii="Work Sans" w:eastAsia="Times New Roman" w:hAnsi="Work Sans" w:cs="Times New Roman"/>
          <w:sz w:val="24"/>
          <w:szCs w:val="24"/>
          <w:lang w:eastAsia="fr-FR"/>
        </w:rPr>
        <w:t xml:space="preserve"> ; pour l'année 2019-2020, il s’agit du </w:t>
      </w:r>
      <w:r w:rsidR="00104861" w:rsidRPr="00104861">
        <w:rPr>
          <w:rFonts w:ascii="Work Sans" w:eastAsia="Times New Roman" w:hAnsi="Work Sans" w:cs="Times New Roman"/>
          <w:sz w:val="24"/>
          <w:szCs w:val="24"/>
          <w:lang w:eastAsia="fr-FR"/>
        </w:rPr>
        <w:t>début d</w:t>
      </w:r>
      <w:r>
        <w:rPr>
          <w:rFonts w:ascii="Work Sans" w:eastAsia="Times New Roman" w:hAnsi="Work Sans" w:cs="Times New Roman"/>
          <w:sz w:val="24"/>
          <w:szCs w:val="24"/>
          <w:lang w:eastAsia="fr-FR"/>
        </w:rPr>
        <w:t>e la campagne, les chiffres étant</w:t>
      </w:r>
      <w:r w:rsidR="00104861" w:rsidRPr="00104861">
        <w:rPr>
          <w:rFonts w:ascii="Work Sans" w:eastAsia="Times New Roman" w:hAnsi="Work Sans" w:cs="Times New Roman"/>
          <w:sz w:val="24"/>
          <w:szCs w:val="24"/>
          <w:lang w:eastAsia="fr-FR"/>
        </w:rPr>
        <w:t xml:space="preserve"> loin d'être définitifs.</w:t>
      </w:r>
    </w:p>
    <w:p w:rsidR="006E1E75" w:rsidRDefault="006E1E75" w:rsidP="00082F64">
      <w:pPr>
        <w:spacing w:after="0" w:line="240" w:lineRule="auto"/>
        <w:ind w:left="360"/>
        <w:jc w:val="both"/>
        <w:rPr>
          <w:rFonts w:ascii="Work Sans" w:eastAsia="Times New Roman" w:hAnsi="Work Sans" w:cs="Times New Roman"/>
          <w:sz w:val="24"/>
          <w:szCs w:val="24"/>
          <w:lang w:eastAsia="fr-FR"/>
        </w:rPr>
      </w:pPr>
      <w:r>
        <w:rPr>
          <w:rFonts w:ascii="Work Sans" w:eastAsia="Times New Roman" w:hAnsi="Work Sans" w:cs="Times New Roman"/>
          <w:sz w:val="24"/>
          <w:szCs w:val="24"/>
          <w:lang w:eastAsia="fr-FR"/>
        </w:rPr>
        <w:lastRenderedPageBreak/>
        <w:t>Par ailleurs, même si les doctorants sont normalement informés de cette possibilité, il serait pertinent de le formaliser par écrit dans la charte des thèses.</w:t>
      </w:r>
    </w:p>
    <w:p w:rsidR="006E1E75" w:rsidRPr="00104861" w:rsidRDefault="006E1E75" w:rsidP="00082F64">
      <w:pPr>
        <w:spacing w:after="0" w:line="240" w:lineRule="auto"/>
        <w:ind w:left="360"/>
        <w:jc w:val="both"/>
        <w:rPr>
          <w:rFonts w:ascii="Work Sans" w:eastAsia="Times New Roman" w:hAnsi="Work Sans" w:cs="Times New Roman"/>
          <w:sz w:val="24"/>
          <w:szCs w:val="24"/>
          <w:lang w:eastAsia="fr-FR"/>
        </w:rPr>
      </w:pPr>
    </w:p>
    <w:p w:rsidR="00CE4161" w:rsidRPr="000F12AD" w:rsidRDefault="00C22AAC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0F12AD">
        <w:rPr>
          <w:rFonts w:ascii="Work Sans" w:hAnsi="Work Sans"/>
          <w:sz w:val="24"/>
          <w:szCs w:val="20"/>
        </w:rPr>
        <w:t xml:space="preserve">- précision apportée concernant la remarque du niveau de concours accessible avec le doctorat : concours IGE </w:t>
      </w:r>
      <w:r w:rsidRPr="000F12AD">
        <w:rPr>
          <w:rFonts w:ascii="Work Sans" w:hAnsi="Work Sans"/>
          <w:sz w:val="24"/>
          <w:szCs w:val="20"/>
          <w:u w:val="single"/>
        </w:rPr>
        <w:t>externe</w:t>
      </w:r>
      <w:r w:rsidRPr="000F12AD">
        <w:rPr>
          <w:rFonts w:ascii="Work Sans" w:hAnsi="Work Sans"/>
          <w:sz w:val="24"/>
          <w:szCs w:val="20"/>
        </w:rPr>
        <w:t xml:space="preserve"> uniquement.</w:t>
      </w:r>
    </w:p>
    <w:p w:rsidR="00C22AAC" w:rsidRPr="000F12AD" w:rsidRDefault="00C22AAC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22AAC" w:rsidRDefault="00C22AAC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0F12AD">
        <w:rPr>
          <w:rFonts w:ascii="Work Sans" w:hAnsi="Work Sans"/>
          <w:sz w:val="24"/>
          <w:szCs w:val="20"/>
        </w:rPr>
        <w:t xml:space="preserve">- </w:t>
      </w:r>
      <w:r w:rsidR="00546CA5" w:rsidRPr="000F12AD">
        <w:rPr>
          <w:rFonts w:ascii="Work Sans" w:hAnsi="Work Sans"/>
          <w:sz w:val="24"/>
          <w:szCs w:val="20"/>
        </w:rPr>
        <w:t>le livret d’accompagnement du doctorant</w:t>
      </w:r>
      <w:r w:rsidR="002C5C7B" w:rsidRPr="000F12AD">
        <w:rPr>
          <w:rFonts w:ascii="Work Sans" w:hAnsi="Work Sans"/>
          <w:sz w:val="24"/>
          <w:szCs w:val="20"/>
        </w:rPr>
        <w:t xml:space="preserve"> remonte à </w:t>
      </w:r>
      <w:r w:rsidR="00546CA5" w:rsidRPr="000F12AD">
        <w:rPr>
          <w:rFonts w:ascii="Work Sans" w:hAnsi="Work Sans"/>
          <w:sz w:val="24"/>
          <w:szCs w:val="20"/>
        </w:rPr>
        <w:t>2017 et devrait subir une actualisation et un « toilettage » prochainement</w:t>
      </w:r>
      <w:r w:rsidR="002C5C7B" w:rsidRPr="000F12AD">
        <w:rPr>
          <w:rFonts w:ascii="Work Sans" w:hAnsi="Work Sans"/>
          <w:sz w:val="24"/>
          <w:szCs w:val="20"/>
        </w:rPr>
        <w:t>.</w:t>
      </w:r>
    </w:p>
    <w:p w:rsidR="00F144C1" w:rsidRDefault="00F144C1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F144C1" w:rsidRDefault="00F144C1" w:rsidP="00F144C1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la réflexion concernant la traduction en langue anglaise des documents </w:t>
      </w:r>
      <w:r w:rsidRPr="00EF15D1">
        <w:rPr>
          <w:rFonts w:ascii="Work Sans" w:hAnsi="Work Sans"/>
          <w:sz w:val="24"/>
          <w:szCs w:val="20"/>
        </w:rPr>
        <w:t>disponibles sur le site du collège doctoral</w:t>
      </w:r>
      <w:r>
        <w:rPr>
          <w:rFonts w:ascii="Work Sans" w:hAnsi="Work Sans"/>
          <w:sz w:val="24"/>
          <w:szCs w:val="20"/>
        </w:rPr>
        <w:t xml:space="preserve"> a déjà débuté.</w:t>
      </w:r>
    </w:p>
    <w:p w:rsidR="002C5C7B" w:rsidRPr="000F12AD" w:rsidRDefault="002C5C7B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22AAC" w:rsidRPr="000F12AD" w:rsidRDefault="00A0410D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0F12AD">
        <w:rPr>
          <w:rFonts w:ascii="Work Sans" w:hAnsi="Work Sans"/>
          <w:sz w:val="24"/>
          <w:szCs w:val="20"/>
        </w:rPr>
        <w:t>- au sujet</w:t>
      </w:r>
      <w:r w:rsidR="002C5C7B" w:rsidRPr="000F12AD">
        <w:rPr>
          <w:rFonts w:ascii="Work Sans" w:hAnsi="Work Sans"/>
          <w:sz w:val="24"/>
          <w:szCs w:val="20"/>
        </w:rPr>
        <w:t xml:space="preserve"> des missions complémentaires, </w:t>
      </w:r>
      <w:r w:rsidRPr="000F12AD">
        <w:rPr>
          <w:rFonts w:ascii="Work Sans" w:hAnsi="Work Sans"/>
          <w:sz w:val="24"/>
          <w:szCs w:val="20"/>
        </w:rPr>
        <w:t xml:space="preserve">avec pour ce faire l’exemple d’un partenariat avec des lycées, </w:t>
      </w:r>
      <w:r w:rsidR="002C5C7B" w:rsidRPr="000F12AD">
        <w:rPr>
          <w:rFonts w:ascii="Work Sans" w:hAnsi="Work Sans"/>
          <w:sz w:val="24"/>
          <w:szCs w:val="20"/>
        </w:rPr>
        <w:t>la question se porte</w:t>
      </w:r>
      <w:r w:rsidRPr="000F12AD">
        <w:rPr>
          <w:rFonts w:ascii="Work Sans" w:hAnsi="Work Sans"/>
          <w:sz w:val="24"/>
          <w:szCs w:val="20"/>
        </w:rPr>
        <w:t xml:space="preserve"> essentiellement</w:t>
      </w:r>
      <w:r w:rsidR="002C5C7B" w:rsidRPr="000F12AD">
        <w:rPr>
          <w:rFonts w:ascii="Work Sans" w:hAnsi="Work Sans"/>
          <w:sz w:val="24"/>
          <w:szCs w:val="20"/>
        </w:rPr>
        <w:t xml:space="preserve"> sur la mise en place et la manière de procéder : par un système « d’appels d’offres » ? </w:t>
      </w:r>
    </w:p>
    <w:p w:rsidR="00A0410D" w:rsidRPr="000F12AD" w:rsidRDefault="00A0410D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22AAC" w:rsidRPr="000F12AD" w:rsidRDefault="00C22AAC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0F12AD">
        <w:rPr>
          <w:rFonts w:ascii="Work Sans" w:hAnsi="Work Sans"/>
          <w:sz w:val="24"/>
          <w:szCs w:val="20"/>
        </w:rPr>
        <w:t>- l’idée d’une journée annuelle des directeurs de thèse n’est pas retenue, car faisant double emploi avec les différents séminaires et conférences organisés par ailleurs.</w:t>
      </w:r>
    </w:p>
    <w:p w:rsidR="003B467C" w:rsidRPr="000F12AD" w:rsidRDefault="003B467C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2C5C7B" w:rsidRDefault="003B467C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0F12AD">
        <w:rPr>
          <w:rFonts w:ascii="Work Sans" w:hAnsi="Work Sans"/>
          <w:sz w:val="24"/>
          <w:szCs w:val="20"/>
        </w:rPr>
        <w:t xml:space="preserve">- revenant sur la possibilité de faire appel à des « correcteurs » en interne pour les thèses des étudiants étrangers, et sauf cas exceptionnel et spécifique, un consensus s’est dégagé sur le fait que la responsabilité en revient au </w:t>
      </w:r>
      <w:r w:rsidR="004748EA" w:rsidRPr="000F12AD">
        <w:rPr>
          <w:rFonts w:ascii="Work Sans" w:hAnsi="Work Sans"/>
          <w:sz w:val="24"/>
          <w:szCs w:val="20"/>
        </w:rPr>
        <w:t xml:space="preserve">seul </w:t>
      </w:r>
      <w:r w:rsidRPr="000F12AD">
        <w:rPr>
          <w:rFonts w:ascii="Work Sans" w:hAnsi="Work Sans"/>
          <w:sz w:val="24"/>
          <w:szCs w:val="20"/>
        </w:rPr>
        <w:t>directeur de thèse.</w:t>
      </w:r>
    </w:p>
    <w:p w:rsidR="0027231C" w:rsidRDefault="0027231C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27231C" w:rsidRPr="000F12AD" w:rsidRDefault="0027231C" w:rsidP="001D735F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78679B" w:rsidRPr="00FE314B" w:rsidRDefault="00FE314B" w:rsidP="003611A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Work Sans" w:hAnsi="Work Sans"/>
          <w:sz w:val="24"/>
          <w:szCs w:val="20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Fin de réunion et suite :</w:t>
      </w:r>
      <w:r w:rsidRPr="00FE314B">
        <w:rPr>
          <w:rFonts w:ascii="Work Sans" w:hAnsi="Work Sans"/>
          <w:b/>
          <w:sz w:val="24"/>
          <w:szCs w:val="20"/>
        </w:rPr>
        <w:t xml:space="preserve"> </w:t>
      </w:r>
      <w:r w:rsidR="00DB53DA" w:rsidRPr="00FE314B">
        <w:rPr>
          <w:rFonts w:ascii="Work Sans" w:hAnsi="Work Sans"/>
          <w:sz w:val="24"/>
          <w:szCs w:val="20"/>
        </w:rPr>
        <w:t>u</w:t>
      </w:r>
      <w:r w:rsidR="008A37E1" w:rsidRPr="00FE314B">
        <w:rPr>
          <w:rFonts w:ascii="Work Sans" w:hAnsi="Work Sans"/>
          <w:sz w:val="24"/>
          <w:szCs w:val="20"/>
        </w:rPr>
        <w:t xml:space="preserve">n </w:t>
      </w:r>
      <w:proofErr w:type="spellStart"/>
      <w:r w:rsidR="008A37E1" w:rsidRPr="00FE314B">
        <w:rPr>
          <w:rFonts w:ascii="Work Sans" w:hAnsi="Work Sans"/>
          <w:sz w:val="24"/>
          <w:szCs w:val="20"/>
        </w:rPr>
        <w:t>Evento</w:t>
      </w:r>
      <w:proofErr w:type="spellEnd"/>
      <w:r w:rsidR="008A37E1" w:rsidRPr="00FE314B">
        <w:rPr>
          <w:rFonts w:ascii="Work Sans" w:hAnsi="Work Sans"/>
          <w:sz w:val="24"/>
          <w:szCs w:val="20"/>
        </w:rPr>
        <w:t xml:space="preserve"> sera </w:t>
      </w:r>
      <w:r w:rsidR="00663132">
        <w:rPr>
          <w:rFonts w:ascii="Work Sans" w:hAnsi="Work Sans"/>
          <w:sz w:val="24"/>
          <w:szCs w:val="20"/>
        </w:rPr>
        <w:t xml:space="preserve">prochainement </w:t>
      </w:r>
      <w:r w:rsidR="008A37E1" w:rsidRPr="00FE314B">
        <w:rPr>
          <w:rFonts w:ascii="Work Sans" w:hAnsi="Work Sans"/>
          <w:sz w:val="24"/>
          <w:szCs w:val="20"/>
        </w:rPr>
        <w:t xml:space="preserve">proposé à l’ensemble </w:t>
      </w:r>
      <w:r w:rsidR="0076619B">
        <w:rPr>
          <w:rFonts w:ascii="Work Sans" w:hAnsi="Work Sans"/>
          <w:sz w:val="24"/>
          <w:szCs w:val="20"/>
        </w:rPr>
        <w:t xml:space="preserve">des membres afin d’organiser la troisième (et normalement dernière) </w:t>
      </w:r>
      <w:r w:rsidR="008A37E1" w:rsidRPr="00FE314B">
        <w:rPr>
          <w:rFonts w:ascii="Work Sans" w:hAnsi="Work Sans"/>
          <w:sz w:val="24"/>
          <w:szCs w:val="20"/>
        </w:rPr>
        <w:t>réunion.</w:t>
      </w:r>
    </w:p>
    <w:sectPr w:rsidR="0078679B" w:rsidRPr="00FE314B" w:rsidSect="00CE4161">
      <w:pgSz w:w="11906" w:h="16838"/>
      <w:pgMar w:top="680" w:right="1418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Cambria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568"/>
    <w:multiLevelType w:val="hybridMultilevel"/>
    <w:tmpl w:val="E8BE55E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A5A35"/>
    <w:multiLevelType w:val="hybridMultilevel"/>
    <w:tmpl w:val="E878007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9B4311"/>
    <w:multiLevelType w:val="hybridMultilevel"/>
    <w:tmpl w:val="4EBE254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627C7D"/>
    <w:multiLevelType w:val="hybridMultilevel"/>
    <w:tmpl w:val="27C4E1A2"/>
    <w:lvl w:ilvl="0" w:tplc="FD7E6FB0">
      <w:numFmt w:val="bullet"/>
      <w:lvlText w:val="-"/>
      <w:lvlJc w:val="left"/>
      <w:pPr>
        <w:ind w:left="927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437055D"/>
    <w:multiLevelType w:val="hybridMultilevel"/>
    <w:tmpl w:val="8BCC8B34"/>
    <w:lvl w:ilvl="0" w:tplc="A7D40FCC">
      <w:start w:val="2"/>
      <w:numFmt w:val="bullet"/>
      <w:lvlText w:val="-"/>
      <w:lvlJc w:val="left"/>
      <w:pPr>
        <w:ind w:left="777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D1E119E"/>
    <w:multiLevelType w:val="hybridMultilevel"/>
    <w:tmpl w:val="2DA0C35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744DB4C">
      <w:numFmt w:val="bullet"/>
      <w:lvlText w:val="-"/>
      <w:lvlJc w:val="left"/>
      <w:pPr>
        <w:ind w:left="2007" w:hanging="360"/>
      </w:pPr>
      <w:rPr>
        <w:rFonts w:ascii="Work Sans" w:eastAsiaTheme="minorHAnsi" w:hAnsi="Work San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5ED7B82"/>
    <w:multiLevelType w:val="hybridMultilevel"/>
    <w:tmpl w:val="AE9C1C32"/>
    <w:lvl w:ilvl="0" w:tplc="024EBEFE">
      <w:start w:val="2"/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6F56"/>
    <w:multiLevelType w:val="hybridMultilevel"/>
    <w:tmpl w:val="4D80C066"/>
    <w:lvl w:ilvl="0" w:tplc="8D6CDAB8">
      <w:start w:val="12"/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E5D28"/>
    <w:multiLevelType w:val="multilevel"/>
    <w:tmpl w:val="4506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496B82"/>
    <w:multiLevelType w:val="hybridMultilevel"/>
    <w:tmpl w:val="3D4035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0B2B16"/>
    <w:multiLevelType w:val="multilevel"/>
    <w:tmpl w:val="6A54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C5"/>
    <w:rsid w:val="00005248"/>
    <w:rsid w:val="000131E3"/>
    <w:rsid w:val="00014660"/>
    <w:rsid w:val="00027CFB"/>
    <w:rsid w:val="00034488"/>
    <w:rsid w:val="000603DF"/>
    <w:rsid w:val="000701E8"/>
    <w:rsid w:val="00080541"/>
    <w:rsid w:val="00082F64"/>
    <w:rsid w:val="00091CDB"/>
    <w:rsid w:val="000B2B6B"/>
    <w:rsid w:val="000B311D"/>
    <w:rsid w:val="000C2EAE"/>
    <w:rsid w:val="000D608B"/>
    <w:rsid w:val="000D67FF"/>
    <w:rsid w:val="000F039A"/>
    <w:rsid w:val="000F12AD"/>
    <w:rsid w:val="0010073A"/>
    <w:rsid w:val="00104861"/>
    <w:rsid w:val="001134F6"/>
    <w:rsid w:val="001145C0"/>
    <w:rsid w:val="001464A6"/>
    <w:rsid w:val="00154BF4"/>
    <w:rsid w:val="00170327"/>
    <w:rsid w:val="001811D6"/>
    <w:rsid w:val="001A57F1"/>
    <w:rsid w:val="001A7622"/>
    <w:rsid w:val="001B71AF"/>
    <w:rsid w:val="001D0C7F"/>
    <w:rsid w:val="001D5A26"/>
    <w:rsid w:val="001D735F"/>
    <w:rsid w:val="00206805"/>
    <w:rsid w:val="00226C9A"/>
    <w:rsid w:val="00247902"/>
    <w:rsid w:val="002503DA"/>
    <w:rsid w:val="002553FC"/>
    <w:rsid w:val="0027231C"/>
    <w:rsid w:val="002750A4"/>
    <w:rsid w:val="002B14B4"/>
    <w:rsid w:val="002B3D41"/>
    <w:rsid w:val="002C5C7B"/>
    <w:rsid w:val="002D20FF"/>
    <w:rsid w:val="002E342A"/>
    <w:rsid w:val="00300D48"/>
    <w:rsid w:val="00305E92"/>
    <w:rsid w:val="00331A6D"/>
    <w:rsid w:val="00341153"/>
    <w:rsid w:val="0035603B"/>
    <w:rsid w:val="003664AF"/>
    <w:rsid w:val="00376671"/>
    <w:rsid w:val="00382C0D"/>
    <w:rsid w:val="003835C2"/>
    <w:rsid w:val="003A1B95"/>
    <w:rsid w:val="003B0CC6"/>
    <w:rsid w:val="003B467C"/>
    <w:rsid w:val="003C2CFD"/>
    <w:rsid w:val="003C7E44"/>
    <w:rsid w:val="003E00AD"/>
    <w:rsid w:val="003E7AA2"/>
    <w:rsid w:val="003F1D59"/>
    <w:rsid w:val="003F48DC"/>
    <w:rsid w:val="003F5195"/>
    <w:rsid w:val="0040314D"/>
    <w:rsid w:val="00410CC7"/>
    <w:rsid w:val="00412032"/>
    <w:rsid w:val="00417A22"/>
    <w:rsid w:val="0045645A"/>
    <w:rsid w:val="004748EA"/>
    <w:rsid w:val="004B0F53"/>
    <w:rsid w:val="004D79E9"/>
    <w:rsid w:val="004E438E"/>
    <w:rsid w:val="004E7540"/>
    <w:rsid w:val="004F379B"/>
    <w:rsid w:val="00506978"/>
    <w:rsid w:val="005279CA"/>
    <w:rsid w:val="00537508"/>
    <w:rsid w:val="00546CA5"/>
    <w:rsid w:val="00567DC4"/>
    <w:rsid w:val="005726FE"/>
    <w:rsid w:val="00573671"/>
    <w:rsid w:val="00584DF1"/>
    <w:rsid w:val="005958E3"/>
    <w:rsid w:val="005A0F03"/>
    <w:rsid w:val="005D5DB6"/>
    <w:rsid w:val="006025D7"/>
    <w:rsid w:val="00607EDB"/>
    <w:rsid w:val="00613CBC"/>
    <w:rsid w:val="00645912"/>
    <w:rsid w:val="00660DC8"/>
    <w:rsid w:val="00663132"/>
    <w:rsid w:val="006766C2"/>
    <w:rsid w:val="006C7104"/>
    <w:rsid w:val="006D320F"/>
    <w:rsid w:val="006D5DDF"/>
    <w:rsid w:val="006D6262"/>
    <w:rsid w:val="006D6413"/>
    <w:rsid w:val="006E1E75"/>
    <w:rsid w:val="006E598A"/>
    <w:rsid w:val="006E6E08"/>
    <w:rsid w:val="0071771F"/>
    <w:rsid w:val="00727565"/>
    <w:rsid w:val="007346AF"/>
    <w:rsid w:val="007471DF"/>
    <w:rsid w:val="00752B3F"/>
    <w:rsid w:val="007600AF"/>
    <w:rsid w:val="00762E6C"/>
    <w:rsid w:val="00764BD4"/>
    <w:rsid w:val="0076619B"/>
    <w:rsid w:val="0078679B"/>
    <w:rsid w:val="00786DFF"/>
    <w:rsid w:val="00791C4E"/>
    <w:rsid w:val="00792162"/>
    <w:rsid w:val="007A5D00"/>
    <w:rsid w:val="007B35F5"/>
    <w:rsid w:val="007C3FEB"/>
    <w:rsid w:val="007D73B9"/>
    <w:rsid w:val="007E6D6E"/>
    <w:rsid w:val="00807B3D"/>
    <w:rsid w:val="00807DB6"/>
    <w:rsid w:val="00807DCA"/>
    <w:rsid w:val="00815171"/>
    <w:rsid w:val="00816F0A"/>
    <w:rsid w:val="008172C2"/>
    <w:rsid w:val="00830F6C"/>
    <w:rsid w:val="00861A8C"/>
    <w:rsid w:val="008721BF"/>
    <w:rsid w:val="00874043"/>
    <w:rsid w:val="008741F9"/>
    <w:rsid w:val="008755F9"/>
    <w:rsid w:val="0089443E"/>
    <w:rsid w:val="008A37E1"/>
    <w:rsid w:val="008C35B2"/>
    <w:rsid w:val="009043C2"/>
    <w:rsid w:val="00917C0D"/>
    <w:rsid w:val="009217D8"/>
    <w:rsid w:val="00926FD5"/>
    <w:rsid w:val="009358CC"/>
    <w:rsid w:val="00937B9D"/>
    <w:rsid w:val="00937BD8"/>
    <w:rsid w:val="00960F6D"/>
    <w:rsid w:val="009747E7"/>
    <w:rsid w:val="00994E63"/>
    <w:rsid w:val="009B0347"/>
    <w:rsid w:val="009C25B9"/>
    <w:rsid w:val="009D5E84"/>
    <w:rsid w:val="009E479D"/>
    <w:rsid w:val="009E6E02"/>
    <w:rsid w:val="00A0410D"/>
    <w:rsid w:val="00A12006"/>
    <w:rsid w:val="00A2789F"/>
    <w:rsid w:val="00A318EB"/>
    <w:rsid w:val="00A7345A"/>
    <w:rsid w:val="00A815F1"/>
    <w:rsid w:val="00A8258C"/>
    <w:rsid w:val="00A83D4A"/>
    <w:rsid w:val="00A94031"/>
    <w:rsid w:val="00AB34FB"/>
    <w:rsid w:val="00AB5900"/>
    <w:rsid w:val="00AC3C18"/>
    <w:rsid w:val="00AD134F"/>
    <w:rsid w:val="00AD6810"/>
    <w:rsid w:val="00AD695A"/>
    <w:rsid w:val="00AE6313"/>
    <w:rsid w:val="00AE7C19"/>
    <w:rsid w:val="00AF5FA4"/>
    <w:rsid w:val="00B211F8"/>
    <w:rsid w:val="00B25BC0"/>
    <w:rsid w:val="00B27154"/>
    <w:rsid w:val="00B52915"/>
    <w:rsid w:val="00B71547"/>
    <w:rsid w:val="00B87D52"/>
    <w:rsid w:val="00B91A56"/>
    <w:rsid w:val="00BA2C24"/>
    <w:rsid w:val="00BA7EFC"/>
    <w:rsid w:val="00BB450B"/>
    <w:rsid w:val="00BC1D84"/>
    <w:rsid w:val="00BD68C7"/>
    <w:rsid w:val="00BE29F5"/>
    <w:rsid w:val="00BF2AF4"/>
    <w:rsid w:val="00C04765"/>
    <w:rsid w:val="00C0585C"/>
    <w:rsid w:val="00C17135"/>
    <w:rsid w:val="00C22AAC"/>
    <w:rsid w:val="00C31FD4"/>
    <w:rsid w:val="00C3749A"/>
    <w:rsid w:val="00C55D61"/>
    <w:rsid w:val="00C6673E"/>
    <w:rsid w:val="00C935C0"/>
    <w:rsid w:val="00C97FF0"/>
    <w:rsid w:val="00CA40E4"/>
    <w:rsid w:val="00CA67C8"/>
    <w:rsid w:val="00CB39D6"/>
    <w:rsid w:val="00CC76B5"/>
    <w:rsid w:val="00CE4161"/>
    <w:rsid w:val="00D23207"/>
    <w:rsid w:val="00D24CFB"/>
    <w:rsid w:val="00D31344"/>
    <w:rsid w:val="00D50371"/>
    <w:rsid w:val="00D946BA"/>
    <w:rsid w:val="00DA362B"/>
    <w:rsid w:val="00DB53DA"/>
    <w:rsid w:val="00DF0E63"/>
    <w:rsid w:val="00DF4104"/>
    <w:rsid w:val="00E00FC5"/>
    <w:rsid w:val="00E1656C"/>
    <w:rsid w:val="00E333EC"/>
    <w:rsid w:val="00E43E27"/>
    <w:rsid w:val="00E45122"/>
    <w:rsid w:val="00E6554F"/>
    <w:rsid w:val="00E94646"/>
    <w:rsid w:val="00EA2656"/>
    <w:rsid w:val="00EA477A"/>
    <w:rsid w:val="00EA63A6"/>
    <w:rsid w:val="00EA70A8"/>
    <w:rsid w:val="00EC13B9"/>
    <w:rsid w:val="00EC1AC8"/>
    <w:rsid w:val="00EC3805"/>
    <w:rsid w:val="00EC7E12"/>
    <w:rsid w:val="00EE3897"/>
    <w:rsid w:val="00EF15D1"/>
    <w:rsid w:val="00EF6D43"/>
    <w:rsid w:val="00F03CFD"/>
    <w:rsid w:val="00F144C1"/>
    <w:rsid w:val="00F42088"/>
    <w:rsid w:val="00F92B7C"/>
    <w:rsid w:val="00FA2BE2"/>
    <w:rsid w:val="00FB5369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7210-C454-4B7E-AB3A-9A68DEA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4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D79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C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71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1B95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14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36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656C"/>
    <w:rPr>
      <w:color w:val="954F72" w:themeColor="followedHyperlink"/>
      <w:u w:val="single"/>
    </w:rPr>
  </w:style>
  <w:style w:type="character" w:customStyle="1" w:styleId="st">
    <w:name w:val="st"/>
    <w:basedOn w:val="Policepardfaut"/>
    <w:rsid w:val="003E7AA2"/>
  </w:style>
  <w:style w:type="character" w:styleId="Accentuation">
    <w:name w:val="Emphasis"/>
    <w:basedOn w:val="Policepardfaut"/>
    <w:uiPriority w:val="20"/>
    <w:qFormat/>
    <w:rsid w:val="003E7AA2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4D79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27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doctoral-cvl.fr/as/ed/page.pl?site=CDCVL&amp;page=procedures" TargetMode="External"/><Relationship Id="rId3" Type="http://schemas.openxmlformats.org/officeDocument/2006/relationships/styles" Target="styles.xml"/><Relationship Id="rId7" Type="http://schemas.openxmlformats.org/officeDocument/2006/relationships/hyperlink" Target="https://collegedoctoral-cvl.fr/as/ed/CDCVL/formations.pl?site=CDCV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v-tours.fr/medias/fichier/deliberation-n-2018-93-approuvant-les-criteres-d-attribution-de-la-prime-d-encadrement-doctoral-et-de-recherche_1563195628003-pdf?ID_FICHE=14057&amp;INLINE=FALS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CC4F-1449-47E3-AFA0-4D0A8040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1388</Words>
  <Characters>7635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udet</Company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Frederic Matyjas</dc:creator>
  <cp:lastModifiedBy>Frederic Matyjas</cp:lastModifiedBy>
  <cp:revision>4</cp:revision>
  <cp:lastPrinted>2019-10-02T07:26:00Z</cp:lastPrinted>
  <dcterms:created xsi:type="dcterms:W3CDTF">2019-12-16T15:32:00Z</dcterms:created>
  <dcterms:modified xsi:type="dcterms:W3CDTF">2020-04-02T15:54:00Z</dcterms:modified>
</cp:coreProperties>
</file>