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6AF" w:rsidRDefault="00764BD4" w:rsidP="00E00FC5">
      <w:pPr>
        <w:pBdr>
          <w:top w:val="single" w:sz="4" w:space="1" w:color="auto"/>
          <w:left w:val="single" w:sz="4" w:space="4" w:color="auto"/>
          <w:bottom w:val="single" w:sz="4" w:space="1" w:color="auto"/>
          <w:right w:val="single" w:sz="4" w:space="4" w:color="auto"/>
        </w:pBdr>
        <w:jc w:val="center"/>
        <w:rPr>
          <w:rFonts w:ascii="Work Sans" w:hAnsi="Work Sans"/>
          <w:b/>
          <w:sz w:val="28"/>
        </w:rPr>
      </w:pPr>
      <w:r>
        <w:rPr>
          <w:rFonts w:ascii="Work Sans" w:hAnsi="Work Sans"/>
          <w:b/>
          <w:sz w:val="28"/>
        </w:rPr>
        <w:t>HRS4R – Groupe de travail n° 4 : formation</w:t>
      </w:r>
    </w:p>
    <w:p w:rsidR="00E00FC5" w:rsidRPr="00DB53DA" w:rsidRDefault="00DF0E63" w:rsidP="00E00FC5">
      <w:pPr>
        <w:jc w:val="center"/>
        <w:rPr>
          <w:rFonts w:ascii="Work Sans" w:hAnsi="Work Sans"/>
          <w:sz w:val="28"/>
          <w:u w:val="single"/>
        </w:rPr>
      </w:pPr>
      <w:r w:rsidRPr="00DB53DA">
        <w:rPr>
          <w:rFonts w:ascii="Work Sans" w:hAnsi="Work Sans"/>
          <w:sz w:val="28"/>
          <w:u w:val="single"/>
        </w:rPr>
        <w:t xml:space="preserve">Compte-rendu </w:t>
      </w:r>
      <w:r w:rsidR="00B52915" w:rsidRPr="00DB53DA">
        <w:rPr>
          <w:rFonts w:ascii="Work Sans" w:hAnsi="Work Sans"/>
          <w:sz w:val="28"/>
          <w:u w:val="single"/>
        </w:rPr>
        <w:t xml:space="preserve">de la </w:t>
      </w:r>
      <w:r w:rsidRPr="00DB53DA">
        <w:rPr>
          <w:rFonts w:ascii="Work Sans" w:hAnsi="Work Sans"/>
          <w:sz w:val="28"/>
          <w:u w:val="single"/>
        </w:rPr>
        <w:t xml:space="preserve">réunion du </w:t>
      </w:r>
      <w:r w:rsidR="008963DC">
        <w:rPr>
          <w:rFonts w:ascii="Work Sans" w:hAnsi="Work Sans"/>
          <w:sz w:val="28"/>
          <w:u w:val="single"/>
        </w:rPr>
        <w:t>12</w:t>
      </w:r>
      <w:r w:rsidR="00764BD4" w:rsidRPr="00DB53DA">
        <w:rPr>
          <w:rFonts w:ascii="Work Sans" w:hAnsi="Work Sans"/>
          <w:sz w:val="28"/>
          <w:u w:val="single"/>
        </w:rPr>
        <w:t>/</w:t>
      </w:r>
      <w:r w:rsidR="00607EDB">
        <w:rPr>
          <w:rFonts w:ascii="Work Sans" w:hAnsi="Work Sans"/>
          <w:sz w:val="28"/>
          <w:u w:val="single"/>
        </w:rPr>
        <w:t>1</w:t>
      </w:r>
      <w:r w:rsidR="008963DC">
        <w:rPr>
          <w:rFonts w:ascii="Work Sans" w:hAnsi="Work Sans"/>
          <w:sz w:val="28"/>
          <w:u w:val="single"/>
        </w:rPr>
        <w:t>1</w:t>
      </w:r>
      <w:r w:rsidR="00E00FC5" w:rsidRPr="00DB53DA">
        <w:rPr>
          <w:rFonts w:ascii="Work Sans" w:hAnsi="Work Sans"/>
          <w:sz w:val="28"/>
          <w:u w:val="single"/>
        </w:rPr>
        <w:t>/201</w:t>
      </w:r>
      <w:r w:rsidR="00764BD4" w:rsidRPr="00DB53DA">
        <w:rPr>
          <w:rFonts w:ascii="Work Sans" w:hAnsi="Work Sans"/>
          <w:sz w:val="28"/>
          <w:u w:val="single"/>
        </w:rPr>
        <w:t>9</w:t>
      </w:r>
    </w:p>
    <w:p w:rsidR="00E00FC5" w:rsidRPr="008A37E1" w:rsidRDefault="00E00FC5" w:rsidP="00E00FC5">
      <w:pPr>
        <w:jc w:val="both"/>
        <w:rPr>
          <w:rFonts w:ascii="Work Sans" w:hAnsi="Work Sans"/>
          <w:i/>
          <w:sz w:val="20"/>
        </w:rPr>
      </w:pPr>
      <w:r w:rsidRPr="008A37E1">
        <w:rPr>
          <w:rFonts w:ascii="Work Sans" w:hAnsi="Work Sans"/>
          <w:i/>
          <w:sz w:val="20"/>
          <w:u w:val="single"/>
        </w:rPr>
        <w:t>Présents :</w:t>
      </w:r>
      <w:r w:rsidRPr="008A37E1">
        <w:rPr>
          <w:rFonts w:ascii="Work Sans" w:hAnsi="Work Sans"/>
          <w:i/>
          <w:sz w:val="20"/>
        </w:rPr>
        <w:t xml:space="preserve"> </w:t>
      </w:r>
      <w:r w:rsidR="008A37E1" w:rsidRPr="008A37E1">
        <w:rPr>
          <w:rFonts w:ascii="Work Sans" w:hAnsi="Work Sans"/>
          <w:i/>
          <w:sz w:val="20"/>
        </w:rPr>
        <w:t xml:space="preserve">Isabelle GUILLOUET, Christelle PRAGNON, </w:t>
      </w:r>
      <w:r w:rsidR="004104EE">
        <w:rPr>
          <w:rFonts w:ascii="Work Sans" w:hAnsi="Work Sans"/>
          <w:i/>
          <w:sz w:val="20"/>
        </w:rPr>
        <w:t xml:space="preserve">Lydia SEABRA, Valérie PENNEQUIN, </w:t>
      </w:r>
      <w:r w:rsidR="00960F6D" w:rsidRPr="00937BD8">
        <w:rPr>
          <w:rFonts w:ascii="Work Sans" w:hAnsi="Work Sans"/>
          <w:b/>
          <w:i/>
          <w:sz w:val="20"/>
        </w:rPr>
        <w:t>Philippe ROINGEARD</w:t>
      </w:r>
      <w:r w:rsidR="00960F6D" w:rsidRPr="008A37E1">
        <w:rPr>
          <w:rFonts w:ascii="Work Sans" w:hAnsi="Work Sans"/>
          <w:i/>
          <w:sz w:val="20"/>
        </w:rPr>
        <w:t xml:space="preserve">, </w:t>
      </w:r>
      <w:r w:rsidR="004104EE">
        <w:rPr>
          <w:rFonts w:ascii="Work Sans" w:hAnsi="Work Sans"/>
          <w:i/>
          <w:sz w:val="20"/>
        </w:rPr>
        <w:t xml:space="preserve">Philippe PREVOST, </w:t>
      </w:r>
      <w:r w:rsidR="00607EDB">
        <w:rPr>
          <w:rFonts w:ascii="Work Sans" w:hAnsi="Work Sans"/>
          <w:i/>
          <w:sz w:val="20"/>
        </w:rPr>
        <w:t>François TRAN</w:t>
      </w:r>
      <w:r w:rsidR="00AC3C18">
        <w:rPr>
          <w:rFonts w:ascii="Work Sans" w:hAnsi="Work Sans"/>
          <w:i/>
          <w:sz w:val="20"/>
        </w:rPr>
        <w:t>-</w:t>
      </w:r>
      <w:r w:rsidR="004B0F53">
        <w:rPr>
          <w:rFonts w:ascii="Work Sans" w:hAnsi="Work Sans"/>
          <w:i/>
          <w:sz w:val="20"/>
        </w:rPr>
        <w:t>VAN</w:t>
      </w:r>
      <w:r w:rsidR="000131E3" w:rsidRPr="008A37E1">
        <w:rPr>
          <w:rFonts w:ascii="Work Sans" w:hAnsi="Work Sans"/>
          <w:i/>
          <w:sz w:val="20"/>
        </w:rPr>
        <w:t>,</w:t>
      </w:r>
      <w:r w:rsidR="004104EE">
        <w:rPr>
          <w:rFonts w:ascii="Work Sans" w:hAnsi="Work Sans"/>
          <w:i/>
          <w:sz w:val="20"/>
        </w:rPr>
        <w:t xml:space="preserve"> Jérôme THIBONNET, </w:t>
      </w:r>
      <w:r w:rsidR="000131E3" w:rsidRPr="008A37E1">
        <w:rPr>
          <w:rFonts w:ascii="Work Sans" w:hAnsi="Work Sans"/>
          <w:i/>
          <w:sz w:val="20"/>
        </w:rPr>
        <w:t>Frédéric MATYJAS</w:t>
      </w:r>
    </w:p>
    <w:p w:rsidR="00EF15D1" w:rsidRDefault="00764BD4" w:rsidP="00E00FC5">
      <w:pPr>
        <w:jc w:val="both"/>
        <w:rPr>
          <w:rFonts w:ascii="Work Sans" w:hAnsi="Work Sans"/>
          <w:i/>
          <w:sz w:val="20"/>
        </w:rPr>
      </w:pPr>
      <w:r w:rsidRPr="008A37E1">
        <w:rPr>
          <w:rFonts w:ascii="Work Sans" w:hAnsi="Work Sans"/>
          <w:i/>
          <w:sz w:val="20"/>
          <w:u w:val="single"/>
        </w:rPr>
        <w:t>Excusés :</w:t>
      </w:r>
      <w:r w:rsidRPr="008A37E1">
        <w:rPr>
          <w:rFonts w:ascii="Work Sans" w:hAnsi="Work Sans"/>
          <w:i/>
          <w:sz w:val="20"/>
        </w:rPr>
        <w:t xml:space="preserve"> </w:t>
      </w:r>
      <w:r w:rsidR="004104EE">
        <w:rPr>
          <w:rFonts w:ascii="Work Sans" w:hAnsi="Work Sans"/>
          <w:i/>
          <w:sz w:val="20"/>
        </w:rPr>
        <w:t>Caroline VASLIN, Isabelle VIRLOGEUX-PAYANT, Manuelle RUILIER</w:t>
      </w:r>
    </w:p>
    <w:p w:rsidR="00960F6D" w:rsidRDefault="00D24CFB" w:rsidP="00752B3F">
      <w:pPr>
        <w:pStyle w:val="Paragraphedeliste"/>
        <w:ind w:left="360"/>
        <w:jc w:val="both"/>
        <w:rPr>
          <w:rFonts w:ascii="Work Sans" w:hAnsi="Work Sans"/>
          <w:sz w:val="24"/>
          <w:szCs w:val="20"/>
        </w:rPr>
      </w:pPr>
      <w:r>
        <w:rPr>
          <w:rFonts w:ascii="Work Sans" w:hAnsi="Work Sans"/>
          <w:sz w:val="24"/>
          <w:szCs w:val="20"/>
        </w:rPr>
        <w:t xml:space="preserve"> </w:t>
      </w:r>
    </w:p>
    <w:p w:rsidR="00EA477A" w:rsidRPr="000B311D" w:rsidRDefault="002750A4" w:rsidP="00EA477A">
      <w:pPr>
        <w:pStyle w:val="Paragraphedeliste"/>
        <w:numPr>
          <w:ilvl w:val="0"/>
          <w:numId w:val="2"/>
        </w:numPr>
        <w:jc w:val="both"/>
        <w:rPr>
          <w:rFonts w:ascii="Work Sans" w:hAnsi="Work Sans"/>
          <w:b/>
          <w:sz w:val="24"/>
          <w:szCs w:val="20"/>
          <w:u w:val="single"/>
        </w:rPr>
      </w:pPr>
      <w:r w:rsidRPr="000B311D">
        <w:rPr>
          <w:rFonts w:ascii="Work Sans" w:hAnsi="Work Sans"/>
          <w:b/>
          <w:sz w:val="24"/>
          <w:szCs w:val="20"/>
          <w:u w:val="single"/>
        </w:rPr>
        <w:t>L’analyse de l’i</w:t>
      </w:r>
      <w:r w:rsidR="00EA477A" w:rsidRPr="000B311D">
        <w:rPr>
          <w:rFonts w:ascii="Work Sans" w:hAnsi="Work Sans"/>
          <w:b/>
          <w:sz w:val="24"/>
          <w:szCs w:val="20"/>
          <w:u w:val="single"/>
        </w:rPr>
        <w:t>tem 3</w:t>
      </w:r>
      <w:r w:rsidR="008963DC">
        <w:rPr>
          <w:rFonts w:ascii="Work Sans" w:hAnsi="Work Sans"/>
          <w:b/>
          <w:sz w:val="24"/>
          <w:szCs w:val="20"/>
          <w:u w:val="single"/>
        </w:rPr>
        <w:t>9</w:t>
      </w:r>
      <w:r w:rsidR="00EA477A" w:rsidRPr="000B311D">
        <w:rPr>
          <w:rFonts w:ascii="Work Sans" w:hAnsi="Work Sans"/>
          <w:b/>
          <w:sz w:val="24"/>
          <w:szCs w:val="20"/>
          <w:u w:val="single"/>
        </w:rPr>
        <w:t xml:space="preserve"> – </w:t>
      </w:r>
      <w:r w:rsidR="008963DC">
        <w:rPr>
          <w:rFonts w:ascii="Work Sans" w:hAnsi="Work Sans"/>
          <w:b/>
          <w:sz w:val="24"/>
          <w:szCs w:val="20"/>
          <w:u w:val="single"/>
        </w:rPr>
        <w:t>Accès à la formation à la recherche et au développement continu</w:t>
      </w:r>
      <w:r w:rsidR="00EA2656" w:rsidRPr="000B311D">
        <w:rPr>
          <w:rFonts w:ascii="Work Sans" w:hAnsi="Work Sans"/>
          <w:b/>
          <w:sz w:val="24"/>
          <w:szCs w:val="20"/>
          <w:u w:val="single"/>
        </w:rPr>
        <w:t xml:space="preserve">, </w:t>
      </w:r>
      <w:r w:rsidRPr="000B311D">
        <w:rPr>
          <w:rFonts w:ascii="Work Sans" w:hAnsi="Work Sans"/>
          <w:b/>
          <w:sz w:val="24"/>
          <w:szCs w:val="20"/>
          <w:u w:val="single"/>
        </w:rPr>
        <w:t xml:space="preserve">dresse </w:t>
      </w:r>
      <w:r w:rsidR="00EA2656" w:rsidRPr="000B311D">
        <w:rPr>
          <w:rFonts w:ascii="Work Sans" w:hAnsi="Work Sans"/>
          <w:b/>
          <w:sz w:val="24"/>
          <w:szCs w:val="20"/>
          <w:u w:val="single"/>
        </w:rPr>
        <w:t>les constats suivants</w:t>
      </w:r>
      <w:r w:rsidR="00EA477A" w:rsidRPr="000B311D">
        <w:rPr>
          <w:rFonts w:ascii="Work Sans" w:hAnsi="Work Sans"/>
          <w:b/>
          <w:sz w:val="24"/>
          <w:szCs w:val="20"/>
          <w:u w:val="single"/>
        </w:rPr>
        <w:t xml:space="preserve"> : </w:t>
      </w:r>
    </w:p>
    <w:p w:rsidR="00F83773" w:rsidRDefault="00F83773" w:rsidP="00752B3F">
      <w:pPr>
        <w:pStyle w:val="Paragraphedeliste"/>
        <w:ind w:left="360"/>
        <w:jc w:val="both"/>
        <w:rPr>
          <w:rFonts w:ascii="Work Sans" w:hAnsi="Work Sans"/>
          <w:sz w:val="24"/>
          <w:szCs w:val="20"/>
        </w:rPr>
      </w:pPr>
    </w:p>
    <w:p w:rsidR="00390B47" w:rsidRPr="00674B68" w:rsidRDefault="00390B47" w:rsidP="00390B47">
      <w:pPr>
        <w:pStyle w:val="Paragraphedeliste"/>
        <w:spacing w:after="0" w:line="240" w:lineRule="auto"/>
        <w:ind w:left="357"/>
        <w:jc w:val="both"/>
        <w:rPr>
          <w:rFonts w:ascii="Work Sans" w:hAnsi="Work Sans"/>
          <w:sz w:val="24"/>
          <w:szCs w:val="20"/>
        </w:rPr>
      </w:pPr>
      <w:r w:rsidRPr="00674B68">
        <w:rPr>
          <w:rFonts w:ascii="Work Sans" w:hAnsi="Work Sans"/>
          <w:sz w:val="24"/>
          <w:szCs w:val="20"/>
        </w:rPr>
        <w:t>- les procédures sur les mobilités des EC sont votées par la CR et validées par le CA, avec 3 documents de « cadrage » distincts :</w:t>
      </w:r>
    </w:p>
    <w:p w:rsidR="00390B47" w:rsidRPr="00674B68" w:rsidRDefault="00390B47" w:rsidP="00390B47">
      <w:pPr>
        <w:pStyle w:val="Paragraphedeliste"/>
        <w:spacing w:after="0" w:line="240" w:lineRule="auto"/>
        <w:ind w:left="708"/>
        <w:jc w:val="both"/>
        <w:rPr>
          <w:rFonts w:ascii="Work Sans" w:hAnsi="Work Sans"/>
          <w:sz w:val="24"/>
          <w:szCs w:val="20"/>
        </w:rPr>
      </w:pPr>
      <w:r w:rsidRPr="00674B68">
        <w:rPr>
          <w:rFonts w:ascii="Work Sans" w:hAnsi="Work Sans"/>
          <w:sz w:val="24"/>
          <w:szCs w:val="20"/>
        </w:rPr>
        <w:t xml:space="preserve">. </w:t>
      </w:r>
      <w:proofErr w:type="gramStart"/>
      <w:r w:rsidRPr="00674B68">
        <w:rPr>
          <w:rFonts w:ascii="Work Sans" w:hAnsi="Work Sans"/>
          <w:sz w:val="24"/>
          <w:szCs w:val="20"/>
        </w:rPr>
        <w:t>mobilité</w:t>
      </w:r>
      <w:proofErr w:type="gramEnd"/>
      <w:r w:rsidRPr="00674B68">
        <w:rPr>
          <w:rFonts w:ascii="Work Sans" w:hAnsi="Work Sans"/>
          <w:sz w:val="24"/>
          <w:szCs w:val="20"/>
        </w:rPr>
        <w:t>-recherche au sein de l’UT,</w:t>
      </w:r>
    </w:p>
    <w:p w:rsidR="00390B47" w:rsidRPr="00674B68" w:rsidRDefault="00390B47" w:rsidP="00390B47">
      <w:pPr>
        <w:pStyle w:val="Paragraphedeliste"/>
        <w:spacing w:after="0" w:line="240" w:lineRule="auto"/>
        <w:ind w:left="708"/>
        <w:jc w:val="both"/>
        <w:rPr>
          <w:rFonts w:ascii="Work Sans" w:hAnsi="Work Sans"/>
          <w:sz w:val="24"/>
          <w:szCs w:val="20"/>
        </w:rPr>
      </w:pPr>
      <w:r w:rsidRPr="00674B68">
        <w:rPr>
          <w:rFonts w:ascii="Work Sans" w:hAnsi="Work Sans"/>
          <w:sz w:val="24"/>
          <w:szCs w:val="20"/>
        </w:rPr>
        <w:t xml:space="preserve">. </w:t>
      </w:r>
      <w:proofErr w:type="gramStart"/>
      <w:r w:rsidRPr="00674B68">
        <w:rPr>
          <w:rFonts w:ascii="Work Sans" w:hAnsi="Work Sans"/>
          <w:sz w:val="24"/>
          <w:szCs w:val="20"/>
        </w:rPr>
        <w:t>mobilité</w:t>
      </w:r>
      <w:proofErr w:type="gramEnd"/>
      <w:r w:rsidRPr="00674B68">
        <w:rPr>
          <w:rFonts w:ascii="Work Sans" w:hAnsi="Work Sans"/>
          <w:sz w:val="24"/>
          <w:szCs w:val="20"/>
        </w:rPr>
        <w:t>-recherche sortante des EC de l’UT,</w:t>
      </w:r>
    </w:p>
    <w:p w:rsidR="00390B47" w:rsidRPr="00674B68" w:rsidRDefault="00390B47" w:rsidP="00390B47">
      <w:pPr>
        <w:pStyle w:val="Paragraphedeliste"/>
        <w:spacing w:after="0" w:line="240" w:lineRule="auto"/>
        <w:ind w:left="708"/>
        <w:jc w:val="both"/>
        <w:rPr>
          <w:rFonts w:ascii="Work Sans" w:hAnsi="Work Sans"/>
          <w:sz w:val="24"/>
          <w:szCs w:val="20"/>
        </w:rPr>
      </w:pPr>
      <w:r w:rsidRPr="00674B68">
        <w:rPr>
          <w:rFonts w:ascii="Work Sans" w:hAnsi="Work Sans"/>
          <w:sz w:val="24"/>
          <w:szCs w:val="20"/>
        </w:rPr>
        <w:t xml:space="preserve">. </w:t>
      </w:r>
      <w:proofErr w:type="gramStart"/>
      <w:r w:rsidRPr="00674B68">
        <w:rPr>
          <w:rFonts w:ascii="Work Sans" w:hAnsi="Work Sans"/>
          <w:sz w:val="24"/>
          <w:szCs w:val="20"/>
        </w:rPr>
        <w:t>mobilité</w:t>
      </w:r>
      <w:proofErr w:type="gramEnd"/>
      <w:r w:rsidRPr="00674B68">
        <w:rPr>
          <w:rFonts w:ascii="Work Sans" w:hAnsi="Work Sans"/>
          <w:sz w:val="24"/>
          <w:szCs w:val="20"/>
        </w:rPr>
        <w:t>-recherche accueil des EC extérieurs à l’UT.</w:t>
      </w:r>
    </w:p>
    <w:p w:rsidR="00390B47" w:rsidRPr="00674B68" w:rsidRDefault="00390B47" w:rsidP="000D608B">
      <w:pPr>
        <w:pStyle w:val="Paragraphedeliste"/>
        <w:ind w:left="360"/>
        <w:jc w:val="both"/>
        <w:rPr>
          <w:rFonts w:ascii="Work Sans" w:hAnsi="Work Sans"/>
          <w:sz w:val="24"/>
          <w:szCs w:val="20"/>
        </w:rPr>
      </w:pPr>
    </w:p>
    <w:p w:rsidR="00817416" w:rsidRPr="00674B68" w:rsidRDefault="00B2160A" w:rsidP="000D608B">
      <w:pPr>
        <w:pStyle w:val="Paragraphedeliste"/>
        <w:ind w:left="360"/>
        <w:jc w:val="both"/>
        <w:rPr>
          <w:rFonts w:ascii="Work Sans" w:hAnsi="Work Sans"/>
          <w:sz w:val="24"/>
          <w:szCs w:val="20"/>
        </w:rPr>
      </w:pPr>
      <w:r w:rsidRPr="00674B68">
        <w:rPr>
          <w:rFonts w:ascii="Work Sans" w:hAnsi="Work Sans"/>
          <w:sz w:val="24"/>
          <w:szCs w:val="20"/>
        </w:rPr>
        <w:t xml:space="preserve">- </w:t>
      </w:r>
      <w:r w:rsidR="00AD09F0" w:rsidRPr="00674B68">
        <w:rPr>
          <w:rFonts w:ascii="Work Sans" w:hAnsi="Work Sans"/>
          <w:sz w:val="24"/>
          <w:szCs w:val="20"/>
        </w:rPr>
        <w:t>le plan de formation des 5 ED</w:t>
      </w:r>
      <w:r w:rsidR="00817416" w:rsidRPr="00674B68">
        <w:rPr>
          <w:rFonts w:ascii="Work Sans" w:hAnsi="Work Sans"/>
          <w:sz w:val="24"/>
          <w:szCs w:val="20"/>
        </w:rPr>
        <w:t xml:space="preserve"> est décliné</w:t>
      </w:r>
      <w:r w:rsidR="00AD09F0" w:rsidRPr="00674B68">
        <w:rPr>
          <w:rFonts w:ascii="Work Sans" w:hAnsi="Work Sans"/>
          <w:sz w:val="24"/>
          <w:szCs w:val="20"/>
        </w:rPr>
        <w:t xml:space="preserve"> </w:t>
      </w:r>
      <w:r w:rsidR="00817416" w:rsidRPr="00674B68">
        <w:rPr>
          <w:rFonts w:ascii="Work Sans" w:hAnsi="Work Sans"/>
          <w:sz w:val="24"/>
          <w:szCs w:val="20"/>
        </w:rPr>
        <w:t>en 3 axes </w:t>
      </w:r>
      <w:r w:rsidR="00AD09F0" w:rsidRPr="00674B68">
        <w:rPr>
          <w:rFonts w:ascii="Work Sans" w:hAnsi="Work Sans"/>
          <w:sz w:val="24"/>
          <w:szCs w:val="20"/>
        </w:rPr>
        <w:t xml:space="preserve">liés à l’insertion professionnelle des doctorants </w:t>
      </w:r>
      <w:r w:rsidR="00817416" w:rsidRPr="00674B68">
        <w:rPr>
          <w:rFonts w:ascii="Work Sans" w:hAnsi="Work Sans"/>
          <w:sz w:val="24"/>
          <w:szCs w:val="20"/>
        </w:rPr>
        <w:t>:</w:t>
      </w:r>
    </w:p>
    <w:p w:rsidR="00817416" w:rsidRPr="00674B68" w:rsidRDefault="00817416" w:rsidP="00817416">
      <w:pPr>
        <w:pStyle w:val="Paragraphedeliste"/>
        <w:ind w:left="708"/>
        <w:jc w:val="both"/>
        <w:rPr>
          <w:rFonts w:ascii="Work Sans" w:hAnsi="Work Sans"/>
          <w:sz w:val="24"/>
          <w:szCs w:val="20"/>
        </w:rPr>
      </w:pPr>
      <w:r w:rsidRPr="00674B68">
        <w:rPr>
          <w:rFonts w:ascii="Work Sans" w:hAnsi="Work Sans"/>
          <w:sz w:val="24"/>
          <w:szCs w:val="20"/>
        </w:rPr>
        <w:t xml:space="preserve">. </w:t>
      </w:r>
      <w:proofErr w:type="gramStart"/>
      <w:r w:rsidRPr="00674B68">
        <w:rPr>
          <w:rFonts w:ascii="Work Sans" w:hAnsi="Work Sans"/>
          <w:sz w:val="24"/>
          <w:szCs w:val="20"/>
        </w:rPr>
        <w:t>enseignement</w:t>
      </w:r>
      <w:proofErr w:type="gramEnd"/>
      <w:r w:rsidRPr="00674B68">
        <w:rPr>
          <w:rFonts w:ascii="Work Sans" w:hAnsi="Work Sans"/>
          <w:sz w:val="24"/>
          <w:szCs w:val="20"/>
        </w:rPr>
        <w:t xml:space="preserve"> supérieur,</w:t>
      </w:r>
    </w:p>
    <w:p w:rsidR="00817416" w:rsidRPr="00674B68" w:rsidRDefault="00817416" w:rsidP="00817416">
      <w:pPr>
        <w:pStyle w:val="Paragraphedeliste"/>
        <w:ind w:left="708"/>
        <w:jc w:val="both"/>
        <w:rPr>
          <w:rFonts w:ascii="Work Sans" w:hAnsi="Work Sans"/>
          <w:sz w:val="24"/>
          <w:szCs w:val="20"/>
        </w:rPr>
      </w:pPr>
      <w:r w:rsidRPr="00674B68">
        <w:rPr>
          <w:rFonts w:ascii="Work Sans" w:hAnsi="Work Sans"/>
          <w:sz w:val="24"/>
          <w:szCs w:val="20"/>
        </w:rPr>
        <w:t xml:space="preserve">. </w:t>
      </w:r>
      <w:proofErr w:type="gramStart"/>
      <w:r w:rsidRPr="00674B68">
        <w:rPr>
          <w:rFonts w:ascii="Work Sans" w:hAnsi="Work Sans"/>
          <w:sz w:val="24"/>
          <w:szCs w:val="20"/>
        </w:rPr>
        <w:t>entreprises</w:t>
      </w:r>
      <w:proofErr w:type="gramEnd"/>
      <w:r w:rsidR="006C2D9C" w:rsidRPr="00674B68">
        <w:rPr>
          <w:rFonts w:ascii="Work Sans" w:hAnsi="Work Sans"/>
          <w:sz w:val="24"/>
          <w:szCs w:val="20"/>
        </w:rPr>
        <w:t xml:space="preserve"> </w:t>
      </w:r>
      <w:r w:rsidRPr="00674B68">
        <w:rPr>
          <w:rFonts w:ascii="Work Sans" w:hAnsi="Work Sans"/>
          <w:sz w:val="24"/>
          <w:szCs w:val="20"/>
        </w:rPr>
        <w:t>/</w:t>
      </w:r>
      <w:r w:rsidR="006C2D9C" w:rsidRPr="00674B68">
        <w:rPr>
          <w:rFonts w:ascii="Work Sans" w:hAnsi="Work Sans"/>
          <w:sz w:val="24"/>
          <w:szCs w:val="20"/>
        </w:rPr>
        <w:t xml:space="preserve"> </w:t>
      </w:r>
      <w:r w:rsidRPr="00674B68">
        <w:rPr>
          <w:rFonts w:ascii="Work Sans" w:hAnsi="Work Sans"/>
          <w:sz w:val="24"/>
          <w:szCs w:val="20"/>
        </w:rPr>
        <w:t>entrepre</w:t>
      </w:r>
      <w:r w:rsidR="006C2D9C" w:rsidRPr="00674B68">
        <w:rPr>
          <w:rFonts w:ascii="Work Sans" w:hAnsi="Work Sans"/>
          <w:sz w:val="24"/>
          <w:szCs w:val="20"/>
        </w:rPr>
        <w:t>neu</w:t>
      </w:r>
      <w:r w:rsidRPr="00674B68">
        <w:rPr>
          <w:rFonts w:ascii="Work Sans" w:hAnsi="Work Sans"/>
          <w:sz w:val="24"/>
          <w:szCs w:val="20"/>
        </w:rPr>
        <w:t>riat,</w:t>
      </w:r>
    </w:p>
    <w:p w:rsidR="00817416" w:rsidRPr="00674B68" w:rsidRDefault="00817416" w:rsidP="00817416">
      <w:pPr>
        <w:pStyle w:val="Paragraphedeliste"/>
        <w:ind w:left="708"/>
        <w:jc w:val="both"/>
        <w:rPr>
          <w:rFonts w:ascii="Work Sans" w:hAnsi="Work Sans"/>
          <w:sz w:val="24"/>
          <w:szCs w:val="20"/>
        </w:rPr>
      </w:pPr>
      <w:r w:rsidRPr="00674B68">
        <w:rPr>
          <w:rFonts w:ascii="Work Sans" w:hAnsi="Work Sans"/>
          <w:sz w:val="24"/>
          <w:szCs w:val="20"/>
        </w:rPr>
        <w:t xml:space="preserve">. </w:t>
      </w:r>
      <w:proofErr w:type="gramStart"/>
      <w:r w:rsidRPr="00674B68">
        <w:rPr>
          <w:rFonts w:ascii="Work Sans" w:hAnsi="Work Sans"/>
          <w:sz w:val="24"/>
          <w:szCs w:val="20"/>
        </w:rPr>
        <w:t>bilan</w:t>
      </w:r>
      <w:proofErr w:type="gramEnd"/>
      <w:r w:rsidRPr="00674B68">
        <w:rPr>
          <w:rFonts w:ascii="Work Sans" w:hAnsi="Work Sans"/>
          <w:sz w:val="24"/>
          <w:szCs w:val="20"/>
        </w:rPr>
        <w:t xml:space="preserve"> de comp</w:t>
      </w:r>
      <w:r w:rsidR="00CD507C" w:rsidRPr="00674B68">
        <w:rPr>
          <w:rFonts w:ascii="Work Sans" w:hAnsi="Work Sans"/>
          <w:sz w:val="24"/>
          <w:szCs w:val="20"/>
        </w:rPr>
        <w:t>étences et projet professionnel.</w:t>
      </w:r>
    </w:p>
    <w:p w:rsidR="00C90725" w:rsidRPr="00674B68" w:rsidRDefault="00C90725" w:rsidP="00817416">
      <w:pPr>
        <w:pStyle w:val="Paragraphedeliste"/>
        <w:ind w:left="708"/>
        <w:jc w:val="both"/>
        <w:rPr>
          <w:rFonts w:ascii="Work Sans" w:hAnsi="Work Sans"/>
          <w:sz w:val="24"/>
          <w:szCs w:val="20"/>
        </w:rPr>
      </w:pPr>
    </w:p>
    <w:p w:rsidR="00CD507C" w:rsidRPr="00674B68" w:rsidRDefault="00CD507C" w:rsidP="00CD507C">
      <w:pPr>
        <w:pStyle w:val="Paragraphedeliste"/>
        <w:ind w:left="360"/>
        <w:rPr>
          <w:rFonts w:ascii="Work Sans" w:hAnsi="Work Sans"/>
          <w:sz w:val="24"/>
          <w:szCs w:val="20"/>
        </w:rPr>
      </w:pPr>
      <w:r w:rsidRPr="00674B68">
        <w:rPr>
          <w:rFonts w:ascii="Work Sans" w:hAnsi="Work Sans"/>
          <w:sz w:val="24"/>
          <w:szCs w:val="20"/>
        </w:rPr>
        <w:t xml:space="preserve">Le descriptif </w:t>
      </w:r>
      <w:r w:rsidR="00A27489" w:rsidRPr="00674B68">
        <w:rPr>
          <w:rFonts w:ascii="Work Sans" w:hAnsi="Work Sans"/>
          <w:sz w:val="24"/>
          <w:szCs w:val="20"/>
        </w:rPr>
        <w:t>de l’offre figure</w:t>
      </w:r>
      <w:r w:rsidRPr="00674B68">
        <w:rPr>
          <w:rFonts w:ascii="Work Sans" w:hAnsi="Work Sans"/>
          <w:sz w:val="24"/>
          <w:szCs w:val="20"/>
        </w:rPr>
        <w:t xml:space="preserve"> en ligne sur le site web du collège doctoral : </w:t>
      </w:r>
      <w:hyperlink r:id="rId6" w:history="1">
        <w:r w:rsidRPr="00674B68">
          <w:rPr>
            <w:rStyle w:val="Lienhypertexte"/>
            <w:rFonts w:ascii="Work Sans" w:hAnsi="Work Sans"/>
            <w:sz w:val="24"/>
            <w:szCs w:val="20"/>
          </w:rPr>
          <w:t>https://collegedoctoral-cvl.fr/as/ed/CDCVL/formations.pl?site=CDCVL</w:t>
        </w:r>
      </w:hyperlink>
    </w:p>
    <w:p w:rsidR="00CD507C" w:rsidRPr="00674B68" w:rsidRDefault="00CD507C" w:rsidP="000D608B">
      <w:pPr>
        <w:pStyle w:val="Paragraphedeliste"/>
        <w:ind w:left="360"/>
        <w:jc w:val="both"/>
        <w:rPr>
          <w:rFonts w:ascii="Work Sans" w:hAnsi="Work Sans"/>
          <w:sz w:val="24"/>
          <w:szCs w:val="20"/>
        </w:rPr>
      </w:pPr>
    </w:p>
    <w:p w:rsidR="006C7104" w:rsidRPr="00674B68" w:rsidRDefault="00C90725" w:rsidP="000D608B">
      <w:pPr>
        <w:pStyle w:val="Paragraphedeliste"/>
        <w:ind w:left="360"/>
        <w:jc w:val="both"/>
        <w:rPr>
          <w:rFonts w:ascii="Work Sans" w:hAnsi="Work Sans"/>
          <w:sz w:val="24"/>
          <w:szCs w:val="20"/>
        </w:rPr>
      </w:pPr>
      <w:r w:rsidRPr="00674B68">
        <w:rPr>
          <w:rFonts w:ascii="Work Sans" w:hAnsi="Work Sans"/>
          <w:sz w:val="24"/>
          <w:szCs w:val="20"/>
        </w:rPr>
        <w:t xml:space="preserve">Par ailleurs, </w:t>
      </w:r>
      <w:r w:rsidR="00AA3526" w:rsidRPr="00674B68">
        <w:rPr>
          <w:rFonts w:ascii="Work Sans" w:hAnsi="Work Sans"/>
          <w:sz w:val="24"/>
          <w:szCs w:val="20"/>
        </w:rPr>
        <w:t>tous les doctorants contractuels de l’UT ont accès au plan de formation.</w:t>
      </w:r>
    </w:p>
    <w:p w:rsidR="00AA3526" w:rsidRPr="00674B68" w:rsidRDefault="00AA3526" w:rsidP="000D608B">
      <w:pPr>
        <w:pStyle w:val="Paragraphedeliste"/>
        <w:ind w:left="360"/>
        <w:jc w:val="both"/>
        <w:rPr>
          <w:rFonts w:ascii="Work Sans" w:hAnsi="Work Sans"/>
          <w:sz w:val="24"/>
          <w:szCs w:val="20"/>
        </w:rPr>
      </w:pPr>
    </w:p>
    <w:p w:rsidR="00AA3526" w:rsidRPr="00674B68" w:rsidRDefault="00AA3526" w:rsidP="000D608B">
      <w:pPr>
        <w:pStyle w:val="Paragraphedeliste"/>
        <w:ind w:left="360"/>
        <w:jc w:val="both"/>
        <w:rPr>
          <w:rFonts w:ascii="Work Sans" w:hAnsi="Work Sans"/>
          <w:sz w:val="24"/>
          <w:szCs w:val="20"/>
        </w:rPr>
      </w:pPr>
      <w:r w:rsidRPr="00674B68">
        <w:rPr>
          <w:rFonts w:ascii="Work Sans" w:hAnsi="Work Sans"/>
          <w:sz w:val="24"/>
          <w:szCs w:val="20"/>
        </w:rPr>
        <w:t xml:space="preserve">- </w:t>
      </w:r>
      <w:r w:rsidR="00F8183B" w:rsidRPr="00674B68">
        <w:rPr>
          <w:rFonts w:ascii="Work Sans" w:hAnsi="Work Sans"/>
          <w:sz w:val="24"/>
          <w:szCs w:val="20"/>
        </w:rPr>
        <w:t>concernant la formation des EC, actuellement c’est la DRH qui sollicite la Direction de la Formation Continue (DFC) au coup par coup ; contrairement aux BIATSS, il n’y a pas de réel travail d’adéquation entre le besoin et l’offre de formation.</w:t>
      </w:r>
      <w:r w:rsidR="00E253DE" w:rsidRPr="00674B68">
        <w:rPr>
          <w:rFonts w:ascii="Work Sans" w:hAnsi="Work Sans"/>
          <w:sz w:val="24"/>
          <w:szCs w:val="20"/>
        </w:rPr>
        <w:t xml:space="preserve"> </w:t>
      </w:r>
      <w:r w:rsidR="00512682" w:rsidRPr="00674B68">
        <w:rPr>
          <w:rFonts w:ascii="Work Sans" w:hAnsi="Work Sans"/>
          <w:sz w:val="24"/>
          <w:szCs w:val="20"/>
        </w:rPr>
        <w:t>S’agissant de thématiques/sujets parfois très spécifiques, l</w:t>
      </w:r>
      <w:r w:rsidR="00E253DE" w:rsidRPr="00674B68">
        <w:rPr>
          <w:rFonts w:ascii="Work Sans" w:hAnsi="Work Sans"/>
          <w:sz w:val="24"/>
          <w:szCs w:val="20"/>
        </w:rPr>
        <w:t xml:space="preserve">’aspect financier </w:t>
      </w:r>
      <w:r w:rsidR="00512682" w:rsidRPr="00674B68">
        <w:rPr>
          <w:rFonts w:ascii="Work Sans" w:hAnsi="Work Sans"/>
          <w:sz w:val="24"/>
          <w:szCs w:val="20"/>
        </w:rPr>
        <w:t xml:space="preserve">n’est pas à négliger avec des coûts </w:t>
      </w:r>
      <w:r w:rsidR="00817416" w:rsidRPr="00674B68">
        <w:rPr>
          <w:rFonts w:ascii="Work Sans" w:hAnsi="Work Sans"/>
          <w:sz w:val="24"/>
          <w:szCs w:val="20"/>
        </w:rPr>
        <w:t xml:space="preserve">sensiblement </w:t>
      </w:r>
      <w:r w:rsidR="00512682" w:rsidRPr="00674B68">
        <w:rPr>
          <w:rFonts w:ascii="Work Sans" w:hAnsi="Work Sans"/>
          <w:sz w:val="24"/>
          <w:szCs w:val="20"/>
        </w:rPr>
        <w:t>plus élevés que la moyenne.</w:t>
      </w:r>
    </w:p>
    <w:p w:rsidR="00824A59" w:rsidRPr="00674B68" w:rsidRDefault="00824A59" w:rsidP="000D608B">
      <w:pPr>
        <w:pStyle w:val="Paragraphedeliste"/>
        <w:ind w:left="360"/>
        <w:jc w:val="both"/>
        <w:rPr>
          <w:rFonts w:ascii="Work Sans" w:hAnsi="Work Sans"/>
          <w:sz w:val="24"/>
          <w:szCs w:val="20"/>
        </w:rPr>
      </w:pPr>
    </w:p>
    <w:p w:rsidR="00824A59" w:rsidRPr="00674B68" w:rsidRDefault="00824A59" w:rsidP="000D608B">
      <w:pPr>
        <w:pStyle w:val="Paragraphedeliste"/>
        <w:ind w:left="360"/>
        <w:jc w:val="both"/>
        <w:rPr>
          <w:rFonts w:ascii="Work Sans" w:hAnsi="Work Sans"/>
          <w:sz w:val="24"/>
          <w:szCs w:val="20"/>
        </w:rPr>
      </w:pPr>
      <w:r w:rsidRPr="00674B68">
        <w:rPr>
          <w:rFonts w:ascii="Work Sans" w:hAnsi="Work Sans"/>
          <w:sz w:val="24"/>
          <w:szCs w:val="20"/>
        </w:rPr>
        <w:t>- L’</w:t>
      </w:r>
      <w:r w:rsidR="00CD507C" w:rsidRPr="00674B68">
        <w:rPr>
          <w:rFonts w:ascii="Work Sans" w:hAnsi="Work Sans"/>
          <w:sz w:val="24"/>
          <w:szCs w:val="20"/>
        </w:rPr>
        <w:t xml:space="preserve">UT </w:t>
      </w:r>
      <w:r w:rsidRPr="00674B68">
        <w:rPr>
          <w:rFonts w:ascii="Work Sans" w:hAnsi="Work Sans"/>
          <w:sz w:val="24"/>
          <w:szCs w:val="20"/>
        </w:rPr>
        <w:t xml:space="preserve">prévoit des dispositions pour favoriser la mobilité des maîtres de conférence des universités – praticiens hospitalier </w:t>
      </w:r>
      <w:r w:rsidR="00CD507C" w:rsidRPr="00674B68">
        <w:rPr>
          <w:rFonts w:ascii="Work Sans" w:hAnsi="Work Sans"/>
          <w:sz w:val="24"/>
          <w:szCs w:val="20"/>
        </w:rPr>
        <w:t>(MC</w:t>
      </w:r>
      <w:r w:rsidR="00A27489" w:rsidRPr="00674B68">
        <w:rPr>
          <w:rFonts w:ascii="Work Sans" w:hAnsi="Work Sans"/>
          <w:sz w:val="24"/>
          <w:szCs w:val="20"/>
        </w:rPr>
        <w:t>U</w:t>
      </w:r>
      <w:r w:rsidR="00CD507C" w:rsidRPr="00674B68">
        <w:rPr>
          <w:rFonts w:ascii="Work Sans" w:hAnsi="Work Sans"/>
          <w:sz w:val="24"/>
          <w:szCs w:val="20"/>
        </w:rPr>
        <w:t xml:space="preserve">-PH) </w:t>
      </w:r>
      <w:r w:rsidRPr="00674B68">
        <w:rPr>
          <w:rFonts w:ascii="Work Sans" w:hAnsi="Work Sans"/>
          <w:sz w:val="24"/>
          <w:szCs w:val="20"/>
        </w:rPr>
        <w:t>pour leur permettre d’être qualif</w:t>
      </w:r>
      <w:r w:rsidR="00CD507C" w:rsidRPr="00674B68">
        <w:rPr>
          <w:rFonts w:ascii="Work Sans" w:hAnsi="Work Sans"/>
          <w:sz w:val="24"/>
          <w:szCs w:val="20"/>
        </w:rPr>
        <w:t>i</w:t>
      </w:r>
      <w:r w:rsidRPr="00674B68">
        <w:rPr>
          <w:rFonts w:ascii="Work Sans" w:hAnsi="Work Sans"/>
          <w:sz w:val="24"/>
          <w:szCs w:val="20"/>
        </w:rPr>
        <w:t>és aux fonctions de professeur des universités -praticien hospitaliers</w:t>
      </w:r>
      <w:r w:rsidR="00CD507C" w:rsidRPr="00674B68">
        <w:rPr>
          <w:rFonts w:ascii="Work Sans" w:hAnsi="Work Sans"/>
          <w:sz w:val="24"/>
          <w:szCs w:val="20"/>
        </w:rPr>
        <w:t xml:space="preserve"> (PU-PH)</w:t>
      </w:r>
      <w:r w:rsidRPr="00674B68">
        <w:rPr>
          <w:rFonts w:ascii="Work Sans" w:hAnsi="Work Sans"/>
          <w:sz w:val="24"/>
          <w:szCs w:val="20"/>
        </w:rPr>
        <w:t xml:space="preserve"> </w:t>
      </w:r>
      <w:r w:rsidRPr="00674B68">
        <w:rPr>
          <w:rFonts w:ascii="Work Sans" w:hAnsi="Work Sans"/>
          <w:color w:val="FF0000"/>
          <w:sz w:val="24"/>
          <w:szCs w:val="20"/>
        </w:rPr>
        <w:t>(</w:t>
      </w:r>
      <w:r w:rsidR="00CD507C" w:rsidRPr="00674B68">
        <w:rPr>
          <w:rFonts w:ascii="Work Sans" w:hAnsi="Work Sans"/>
          <w:color w:val="FF0000"/>
          <w:sz w:val="24"/>
          <w:szCs w:val="20"/>
        </w:rPr>
        <w:t xml:space="preserve">se rapprocher de </w:t>
      </w:r>
      <w:r w:rsidRPr="00674B68">
        <w:rPr>
          <w:rFonts w:ascii="Work Sans" w:hAnsi="Work Sans"/>
          <w:color w:val="FF0000"/>
          <w:sz w:val="24"/>
          <w:szCs w:val="20"/>
        </w:rPr>
        <w:t>Claire Laurent</w:t>
      </w:r>
      <w:r w:rsidR="00CD507C" w:rsidRPr="00674B68">
        <w:rPr>
          <w:rFonts w:ascii="Work Sans" w:hAnsi="Work Sans"/>
          <w:color w:val="FF0000"/>
          <w:sz w:val="24"/>
          <w:szCs w:val="20"/>
        </w:rPr>
        <w:t xml:space="preserve"> pour voir</w:t>
      </w:r>
      <w:r w:rsidRPr="00674B68">
        <w:rPr>
          <w:rFonts w:ascii="Work Sans" w:hAnsi="Work Sans"/>
          <w:color w:val="FF0000"/>
          <w:sz w:val="24"/>
          <w:szCs w:val="20"/>
        </w:rPr>
        <w:t xml:space="preserve"> ce que l’on peut mettre de plus précis)</w:t>
      </w:r>
      <w:r w:rsidRPr="00674B68">
        <w:rPr>
          <w:rFonts w:ascii="Work Sans" w:hAnsi="Work Sans"/>
          <w:sz w:val="24"/>
          <w:szCs w:val="20"/>
        </w:rPr>
        <w:t>.</w:t>
      </w:r>
    </w:p>
    <w:p w:rsidR="00C90725" w:rsidRPr="00674B68" w:rsidRDefault="00C90725" w:rsidP="00C90725">
      <w:pPr>
        <w:pStyle w:val="Paragraphedeliste"/>
        <w:jc w:val="both"/>
        <w:rPr>
          <w:rFonts w:ascii="Work Sans" w:hAnsi="Work Sans"/>
          <w:sz w:val="24"/>
          <w:szCs w:val="20"/>
        </w:rPr>
      </w:pPr>
    </w:p>
    <w:p w:rsidR="004104EE" w:rsidRPr="00674B68" w:rsidRDefault="004104EE" w:rsidP="00752B3F">
      <w:pPr>
        <w:pStyle w:val="Paragraphedeliste"/>
        <w:ind w:left="360"/>
        <w:jc w:val="both"/>
        <w:rPr>
          <w:rFonts w:ascii="Work Sans" w:hAnsi="Work Sans"/>
          <w:sz w:val="24"/>
          <w:szCs w:val="20"/>
        </w:rPr>
      </w:pPr>
    </w:p>
    <w:p w:rsidR="00791C4E" w:rsidRPr="00674B68" w:rsidRDefault="002750A4" w:rsidP="00F92B7C">
      <w:pPr>
        <w:pStyle w:val="Paragraphedeliste"/>
        <w:numPr>
          <w:ilvl w:val="0"/>
          <w:numId w:val="1"/>
        </w:numPr>
        <w:spacing w:after="0"/>
        <w:ind w:left="357"/>
        <w:jc w:val="both"/>
        <w:rPr>
          <w:rFonts w:ascii="Work Sans" w:hAnsi="Work Sans"/>
          <w:b/>
          <w:sz w:val="24"/>
          <w:szCs w:val="20"/>
          <w:u w:val="single"/>
        </w:rPr>
      </w:pPr>
      <w:r w:rsidRPr="00674B68">
        <w:rPr>
          <w:rFonts w:ascii="Work Sans" w:hAnsi="Work Sans"/>
          <w:b/>
          <w:sz w:val="24"/>
          <w:szCs w:val="20"/>
          <w:u w:val="single"/>
        </w:rPr>
        <w:t>Item 3</w:t>
      </w:r>
      <w:r w:rsidR="00766E09" w:rsidRPr="00674B68">
        <w:rPr>
          <w:rFonts w:ascii="Work Sans" w:hAnsi="Work Sans"/>
          <w:b/>
          <w:sz w:val="24"/>
          <w:szCs w:val="20"/>
          <w:u w:val="single"/>
        </w:rPr>
        <w:t>9</w:t>
      </w:r>
      <w:r w:rsidRPr="00674B68">
        <w:rPr>
          <w:rFonts w:ascii="Work Sans" w:hAnsi="Work Sans"/>
          <w:b/>
          <w:sz w:val="24"/>
          <w:szCs w:val="20"/>
          <w:u w:val="single"/>
        </w:rPr>
        <w:t xml:space="preserve"> - </w:t>
      </w:r>
      <w:r w:rsidR="0071771F" w:rsidRPr="00674B68">
        <w:rPr>
          <w:rFonts w:ascii="Work Sans" w:hAnsi="Work Sans"/>
          <w:b/>
          <w:sz w:val="24"/>
          <w:szCs w:val="20"/>
          <w:u w:val="single"/>
        </w:rPr>
        <w:t xml:space="preserve">Les </w:t>
      </w:r>
      <w:r w:rsidR="008721BF" w:rsidRPr="00674B68">
        <w:rPr>
          <w:rFonts w:ascii="Work Sans" w:hAnsi="Work Sans"/>
          <w:b/>
          <w:sz w:val="24"/>
          <w:szCs w:val="20"/>
          <w:u w:val="single"/>
        </w:rPr>
        <w:t>écart</w:t>
      </w:r>
      <w:r w:rsidR="00B87D52" w:rsidRPr="00674B68">
        <w:rPr>
          <w:rFonts w:ascii="Work Sans" w:hAnsi="Work Sans"/>
          <w:b/>
          <w:sz w:val="24"/>
          <w:szCs w:val="20"/>
          <w:u w:val="single"/>
        </w:rPr>
        <w:t>s</w:t>
      </w:r>
      <w:r w:rsidR="008721BF" w:rsidRPr="00674B68">
        <w:rPr>
          <w:rFonts w:ascii="Work Sans" w:hAnsi="Work Sans"/>
          <w:b/>
          <w:sz w:val="24"/>
          <w:szCs w:val="20"/>
          <w:u w:val="single"/>
        </w:rPr>
        <w:t xml:space="preserve"> </w:t>
      </w:r>
      <w:r w:rsidR="00AF5FA4" w:rsidRPr="00674B68">
        <w:rPr>
          <w:rFonts w:ascii="Work Sans" w:hAnsi="Work Sans"/>
          <w:b/>
          <w:sz w:val="24"/>
          <w:szCs w:val="20"/>
          <w:u w:val="single"/>
        </w:rPr>
        <w:t>décelés et les propositions d’action(s)</w:t>
      </w:r>
      <w:r w:rsidR="00BD68C7" w:rsidRPr="00674B68">
        <w:rPr>
          <w:rFonts w:ascii="Work Sans" w:hAnsi="Work Sans"/>
          <w:b/>
          <w:sz w:val="24"/>
          <w:szCs w:val="20"/>
          <w:u w:val="single"/>
        </w:rPr>
        <w:t xml:space="preserve"> </w:t>
      </w:r>
      <w:r w:rsidR="00791C4E" w:rsidRPr="00674B68">
        <w:rPr>
          <w:rFonts w:ascii="Work Sans" w:hAnsi="Work Sans"/>
          <w:b/>
          <w:sz w:val="24"/>
          <w:szCs w:val="20"/>
          <w:u w:val="single"/>
        </w:rPr>
        <w:t>:</w:t>
      </w:r>
    </w:p>
    <w:p w:rsidR="00F83773" w:rsidRPr="00674B68" w:rsidRDefault="00F83773" w:rsidP="00824A59">
      <w:pPr>
        <w:pStyle w:val="Paragraphedeliste"/>
        <w:ind w:left="360"/>
        <w:jc w:val="both"/>
        <w:rPr>
          <w:rFonts w:ascii="Work Sans" w:hAnsi="Work Sans"/>
          <w:sz w:val="24"/>
          <w:szCs w:val="20"/>
        </w:rPr>
      </w:pPr>
    </w:p>
    <w:p w:rsidR="00F83773" w:rsidRPr="00674B68" w:rsidRDefault="00F83773" w:rsidP="00F83773">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outre le simple fait d’assurer une meilleure collaboration entre DRH et DFC, améliorer le recensement des besoins de formation des EC. Une piste de réflexion pourrait être le volet formation de l’outil EVAL lors de l’EPI (lorsque pratiqué, notamment pour les chercheurs sur projet). </w:t>
      </w:r>
    </w:p>
    <w:p w:rsidR="00824A59" w:rsidRPr="00674B68" w:rsidRDefault="00824A59" w:rsidP="001D735F">
      <w:pPr>
        <w:pStyle w:val="Paragraphedeliste"/>
        <w:spacing w:after="0" w:line="240" w:lineRule="auto"/>
        <w:ind w:left="357"/>
        <w:jc w:val="both"/>
        <w:rPr>
          <w:rFonts w:ascii="Work Sans" w:hAnsi="Work Sans"/>
          <w:sz w:val="24"/>
          <w:szCs w:val="20"/>
        </w:rPr>
      </w:pPr>
    </w:p>
    <w:p w:rsidR="00C935C0" w:rsidRPr="00674B68" w:rsidRDefault="00C935C0" w:rsidP="001D735F">
      <w:pPr>
        <w:pStyle w:val="Paragraphedeliste"/>
        <w:spacing w:after="0" w:line="240" w:lineRule="auto"/>
        <w:ind w:left="357"/>
        <w:jc w:val="both"/>
        <w:rPr>
          <w:rFonts w:ascii="Work Sans" w:hAnsi="Work Sans"/>
          <w:sz w:val="24"/>
          <w:szCs w:val="20"/>
        </w:rPr>
      </w:pPr>
    </w:p>
    <w:p w:rsidR="00C935C0" w:rsidRPr="00674B68" w:rsidRDefault="008963DC" w:rsidP="00C935C0">
      <w:pPr>
        <w:pStyle w:val="Paragraphedeliste"/>
        <w:numPr>
          <w:ilvl w:val="0"/>
          <w:numId w:val="2"/>
        </w:numPr>
        <w:jc w:val="both"/>
        <w:rPr>
          <w:rFonts w:ascii="Work Sans" w:hAnsi="Work Sans"/>
          <w:b/>
          <w:sz w:val="24"/>
          <w:szCs w:val="20"/>
          <w:u w:val="single"/>
        </w:rPr>
      </w:pPr>
      <w:r w:rsidRPr="00674B68">
        <w:rPr>
          <w:rFonts w:ascii="Work Sans" w:hAnsi="Work Sans"/>
          <w:b/>
          <w:sz w:val="24"/>
          <w:szCs w:val="20"/>
          <w:u w:val="single"/>
        </w:rPr>
        <w:t>L’analyse de l’item 40</w:t>
      </w:r>
      <w:r w:rsidR="00C935C0" w:rsidRPr="00674B68">
        <w:rPr>
          <w:rFonts w:ascii="Work Sans" w:hAnsi="Work Sans"/>
          <w:b/>
          <w:sz w:val="24"/>
          <w:szCs w:val="20"/>
          <w:u w:val="single"/>
        </w:rPr>
        <w:t xml:space="preserve"> – </w:t>
      </w:r>
      <w:r w:rsidRPr="00674B68">
        <w:rPr>
          <w:rFonts w:ascii="Work Sans" w:hAnsi="Work Sans"/>
          <w:b/>
          <w:sz w:val="24"/>
          <w:szCs w:val="20"/>
          <w:u w:val="single"/>
        </w:rPr>
        <w:t>Supervision des chercheurs en début de carrière</w:t>
      </w:r>
      <w:r w:rsidR="00C935C0" w:rsidRPr="00674B68">
        <w:rPr>
          <w:rFonts w:ascii="Work Sans" w:hAnsi="Work Sans"/>
          <w:b/>
          <w:sz w:val="24"/>
          <w:szCs w:val="20"/>
          <w:u w:val="single"/>
        </w:rPr>
        <w:t xml:space="preserve">, dresse les constats suivants : </w:t>
      </w:r>
    </w:p>
    <w:p w:rsidR="00F05A81" w:rsidRPr="00674B68" w:rsidRDefault="00F05A81" w:rsidP="001D735F">
      <w:pPr>
        <w:pStyle w:val="Paragraphedeliste"/>
        <w:spacing w:after="0" w:line="240" w:lineRule="auto"/>
        <w:ind w:left="357"/>
        <w:jc w:val="both"/>
        <w:rPr>
          <w:rFonts w:ascii="Work Sans" w:hAnsi="Work Sans"/>
          <w:sz w:val="24"/>
          <w:szCs w:val="20"/>
        </w:rPr>
      </w:pPr>
    </w:p>
    <w:p w:rsidR="00F05A81" w:rsidRPr="00674B68" w:rsidRDefault="00F05A81" w:rsidP="00F05A81">
      <w:pPr>
        <w:pStyle w:val="Paragraphedeliste"/>
        <w:spacing w:after="0" w:line="240" w:lineRule="auto"/>
        <w:ind w:left="357"/>
        <w:jc w:val="both"/>
        <w:rPr>
          <w:rFonts w:ascii="Work Sans" w:hAnsi="Work Sans"/>
          <w:sz w:val="24"/>
          <w:szCs w:val="20"/>
        </w:rPr>
      </w:pPr>
      <w:r w:rsidRPr="00674B68">
        <w:rPr>
          <w:rFonts w:ascii="Work Sans" w:hAnsi="Work Sans"/>
          <w:sz w:val="24"/>
          <w:szCs w:val="20"/>
        </w:rPr>
        <w:t>- la charte des thèses de l’UT (commune) et la convention doctorale (propre à chaque doctorant) constituent les documents de référence, permettant de bien cadrer/normer les activités du doctorant mais également du directeur de thèse. Pour autant, à ce jour rien d’équivalent n’existe pour les stages et mémoires en masters (hors convention de stage qui satisfait à un objectif essentiellement administratif et juridique).</w:t>
      </w:r>
    </w:p>
    <w:p w:rsidR="00F05A81" w:rsidRPr="00674B68" w:rsidRDefault="00F05A81" w:rsidP="001D735F">
      <w:pPr>
        <w:pStyle w:val="Paragraphedeliste"/>
        <w:spacing w:after="0" w:line="240" w:lineRule="auto"/>
        <w:ind w:left="357"/>
        <w:jc w:val="both"/>
        <w:rPr>
          <w:rFonts w:ascii="Work Sans" w:hAnsi="Work Sans"/>
          <w:sz w:val="24"/>
          <w:szCs w:val="20"/>
        </w:rPr>
      </w:pPr>
    </w:p>
    <w:p w:rsidR="00002660" w:rsidRPr="00674B68" w:rsidRDefault="00002660"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il ressort que le parrainage par le directeur de thèse est bien établi pour les doctorants. Mais qu’en est-il des jeunes EC nouvellement nommés</w:t>
      </w:r>
      <w:r w:rsidR="00966FE5" w:rsidRPr="00674B68">
        <w:rPr>
          <w:rFonts w:ascii="Work Sans" w:hAnsi="Work Sans"/>
          <w:sz w:val="24"/>
          <w:szCs w:val="20"/>
        </w:rPr>
        <w:t> ?</w:t>
      </w:r>
      <w:r w:rsidRPr="00674B68">
        <w:rPr>
          <w:rFonts w:ascii="Work Sans" w:hAnsi="Work Sans"/>
          <w:sz w:val="24"/>
          <w:szCs w:val="20"/>
        </w:rPr>
        <w:t xml:space="preserve"> </w:t>
      </w:r>
    </w:p>
    <w:p w:rsidR="00966FE5" w:rsidRPr="00674B68" w:rsidRDefault="00966FE5" w:rsidP="001D735F">
      <w:pPr>
        <w:pStyle w:val="Paragraphedeliste"/>
        <w:spacing w:after="0" w:line="240" w:lineRule="auto"/>
        <w:ind w:left="357"/>
        <w:jc w:val="both"/>
        <w:rPr>
          <w:rFonts w:ascii="Work Sans" w:hAnsi="Work Sans"/>
          <w:sz w:val="24"/>
          <w:szCs w:val="20"/>
        </w:rPr>
      </w:pPr>
    </w:p>
    <w:p w:rsidR="00966FE5" w:rsidRPr="00674B68" w:rsidRDefault="00966FE5"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les possibilités de missions d’enseignement ne sont peut-être pas toujours bien connues des doctorants. </w:t>
      </w:r>
    </w:p>
    <w:p w:rsidR="00002660" w:rsidRPr="00674B68" w:rsidRDefault="00002660" w:rsidP="001D735F">
      <w:pPr>
        <w:pStyle w:val="Paragraphedeliste"/>
        <w:spacing w:after="0" w:line="240" w:lineRule="auto"/>
        <w:ind w:left="357"/>
        <w:jc w:val="both"/>
        <w:rPr>
          <w:rFonts w:ascii="Work Sans" w:hAnsi="Work Sans"/>
          <w:sz w:val="24"/>
          <w:szCs w:val="20"/>
        </w:rPr>
      </w:pPr>
    </w:p>
    <w:p w:rsidR="00766E09" w:rsidRPr="00674B68" w:rsidRDefault="00766E09" w:rsidP="001D735F">
      <w:pPr>
        <w:pStyle w:val="Paragraphedeliste"/>
        <w:spacing w:after="0" w:line="240" w:lineRule="auto"/>
        <w:ind w:left="357"/>
        <w:jc w:val="both"/>
        <w:rPr>
          <w:rFonts w:ascii="Work Sans" w:hAnsi="Work Sans"/>
          <w:sz w:val="24"/>
          <w:szCs w:val="20"/>
        </w:rPr>
      </w:pPr>
    </w:p>
    <w:p w:rsidR="00C935C0" w:rsidRPr="00674B68" w:rsidRDefault="00C935C0" w:rsidP="00C935C0">
      <w:pPr>
        <w:pStyle w:val="Paragraphedeliste"/>
        <w:numPr>
          <w:ilvl w:val="0"/>
          <w:numId w:val="1"/>
        </w:numPr>
        <w:spacing w:after="0"/>
        <w:ind w:left="357"/>
        <w:jc w:val="both"/>
        <w:rPr>
          <w:rFonts w:ascii="Work Sans" w:hAnsi="Work Sans"/>
          <w:b/>
          <w:sz w:val="24"/>
          <w:szCs w:val="20"/>
          <w:u w:val="single"/>
        </w:rPr>
      </w:pPr>
      <w:r w:rsidRPr="00674B68">
        <w:rPr>
          <w:rFonts w:ascii="Work Sans" w:hAnsi="Work Sans"/>
          <w:b/>
          <w:sz w:val="24"/>
          <w:szCs w:val="20"/>
          <w:u w:val="single"/>
        </w:rPr>
        <w:t xml:space="preserve">Item </w:t>
      </w:r>
      <w:r w:rsidR="00766E09" w:rsidRPr="00674B68">
        <w:rPr>
          <w:rFonts w:ascii="Work Sans" w:hAnsi="Work Sans"/>
          <w:b/>
          <w:sz w:val="24"/>
          <w:szCs w:val="20"/>
          <w:u w:val="single"/>
        </w:rPr>
        <w:t>40</w:t>
      </w:r>
      <w:r w:rsidRPr="00674B68">
        <w:rPr>
          <w:rFonts w:ascii="Work Sans" w:hAnsi="Work Sans"/>
          <w:b/>
          <w:sz w:val="24"/>
          <w:szCs w:val="20"/>
          <w:u w:val="single"/>
        </w:rPr>
        <w:t xml:space="preserve"> - Les écarts décelés et les propositions d’action(s) :</w:t>
      </w:r>
    </w:p>
    <w:p w:rsidR="00D958F3" w:rsidRPr="00674B68" w:rsidRDefault="00D958F3" w:rsidP="001D735F">
      <w:pPr>
        <w:pStyle w:val="Paragraphedeliste"/>
        <w:spacing w:after="0" w:line="240" w:lineRule="auto"/>
        <w:ind w:left="357"/>
        <w:jc w:val="both"/>
        <w:rPr>
          <w:rFonts w:ascii="Work Sans" w:hAnsi="Work Sans"/>
          <w:sz w:val="24"/>
          <w:szCs w:val="20"/>
        </w:rPr>
      </w:pPr>
    </w:p>
    <w:p w:rsidR="00D958F3" w:rsidRPr="00674B68" w:rsidRDefault="00D958F3" w:rsidP="00D958F3">
      <w:pPr>
        <w:pStyle w:val="Paragraphedeliste"/>
        <w:spacing w:after="0" w:line="240" w:lineRule="auto"/>
        <w:ind w:left="357"/>
        <w:jc w:val="both"/>
        <w:rPr>
          <w:rFonts w:ascii="Work Sans" w:hAnsi="Work Sans"/>
          <w:sz w:val="24"/>
          <w:szCs w:val="20"/>
        </w:rPr>
      </w:pPr>
      <w:r w:rsidRPr="00674B68">
        <w:rPr>
          <w:rFonts w:ascii="Work Sans" w:hAnsi="Work Sans"/>
          <w:sz w:val="24"/>
          <w:szCs w:val="20"/>
        </w:rPr>
        <w:t>- en s’inspirant de la charte des thèses, rédiger un document pour les stages et mémoires en masters, qui décrirait à minima les droits et obligations de l’encadrant et de l’étudiant.</w:t>
      </w:r>
    </w:p>
    <w:p w:rsidR="00D958F3" w:rsidRPr="00674B68" w:rsidRDefault="00D958F3" w:rsidP="001D735F">
      <w:pPr>
        <w:pStyle w:val="Paragraphedeliste"/>
        <w:spacing w:after="0" w:line="240" w:lineRule="auto"/>
        <w:ind w:left="357"/>
        <w:jc w:val="both"/>
        <w:rPr>
          <w:rFonts w:ascii="Work Sans" w:hAnsi="Work Sans"/>
          <w:sz w:val="24"/>
          <w:szCs w:val="20"/>
        </w:rPr>
      </w:pPr>
    </w:p>
    <w:p w:rsidR="000F039A" w:rsidRPr="00674B68" w:rsidRDefault="00002660"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concernant les jeunes EC, il n’existe pas actuellement de dispositif de parrainage ou de tutorat permanent </w:t>
      </w:r>
      <w:r w:rsidRPr="00674B68">
        <w:rPr>
          <w:rFonts w:ascii="Work Sans" w:hAnsi="Work Sans"/>
          <w:sz w:val="24"/>
          <w:szCs w:val="20"/>
        </w:rPr>
        <w:sym w:font="Wingdings" w:char="F0E0"/>
      </w:r>
      <w:r w:rsidRPr="00674B68">
        <w:rPr>
          <w:rFonts w:ascii="Work Sans" w:hAnsi="Work Sans"/>
          <w:sz w:val="24"/>
          <w:szCs w:val="20"/>
        </w:rPr>
        <w:t xml:space="preserve"> nommer une personne ressources extérieure au laboratoire que le jeune EC pourrait ponctuellement solliciter en cas de problème/besoin</w:t>
      </w:r>
      <w:r w:rsidR="00966FE5" w:rsidRPr="00674B68">
        <w:rPr>
          <w:rFonts w:ascii="Work Sans" w:hAnsi="Work Sans"/>
          <w:sz w:val="24"/>
          <w:szCs w:val="20"/>
        </w:rPr>
        <w:t>, et afin d’éviter son isolement.</w:t>
      </w:r>
    </w:p>
    <w:p w:rsidR="00966FE5" w:rsidRPr="00674B68" w:rsidRDefault="00966FE5" w:rsidP="001D735F">
      <w:pPr>
        <w:pStyle w:val="Paragraphedeliste"/>
        <w:spacing w:after="0" w:line="240" w:lineRule="auto"/>
        <w:ind w:left="357"/>
        <w:jc w:val="both"/>
        <w:rPr>
          <w:rFonts w:ascii="Work Sans" w:hAnsi="Work Sans"/>
          <w:sz w:val="24"/>
          <w:szCs w:val="20"/>
        </w:rPr>
      </w:pPr>
    </w:p>
    <w:p w:rsidR="00966FE5" w:rsidRPr="00674B68" w:rsidRDefault="00966FE5" w:rsidP="001D735F">
      <w:pPr>
        <w:pStyle w:val="Paragraphedeliste"/>
        <w:spacing w:after="0" w:line="240" w:lineRule="auto"/>
        <w:ind w:left="357"/>
        <w:jc w:val="both"/>
        <w:rPr>
          <w:rFonts w:ascii="Work Sans" w:hAnsi="Work Sans"/>
          <w:color w:val="FF0000"/>
          <w:sz w:val="24"/>
          <w:szCs w:val="20"/>
        </w:rPr>
      </w:pPr>
      <w:r w:rsidRPr="00674B68">
        <w:rPr>
          <w:rFonts w:ascii="Work Sans" w:hAnsi="Work Sans"/>
          <w:sz w:val="24"/>
          <w:szCs w:val="20"/>
        </w:rPr>
        <w:t>- mieux communiquer sur les possibilités de réalisation de missions d’enseignement par les doctorants</w:t>
      </w:r>
      <w:r w:rsidR="00CD507C" w:rsidRPr="00674B68">
        <w:rPr>
          <w:rFonts w:ascii="Work Sans" w:hAnsi="Work Sans"/>
          <w:sz w:val="24"/>
          <w:szCs w:val="20"/>
        </w:rPr>
        <w:t xml:space="preserve"> </w:t>
      </w:r>
      <w:r w:rsidR="00CD507C" w:rsidRPr="00674B68">
        <w:rPr>
          <w:rFonts w:ascii="Work Sans" w:hAnsi="Work Sans"/>
          <w:sz w:val="24"/>
          <w:szCs w:val="20"/>
        </w:rPr>
        <w:sym w:font="Wingdings" w:char="F0E0"/>
      </w:r>
      <w:r w:rsidR="00CD507C" w:rsidRPr="00674B68">
        <w:rPr>
          <w:rFonts w:ascii="Work Sans" w:hAnsi="Work Sans"/>
          <w:sz w:val="24"/>
          <w:szCs w:val="20"/>
        </w:rPr>
        <w:t xml:space="preserve"> information à afficher sur le site web du collège doctoral.</w:t>
      </w:r>
    </w:p>
    <w:p w:rsidR="002C5C7B" w:rsidRPr="00674B68" w:rsidRDefault="002C5C7B" w:rsidP="001D735F">
      <w:pPr>
        <w:pStyle w:val="Paragraphedeliste"/>
        <w:spacing w:after="0" w:line="240" w:lineRule="auto"/>
        <w:ind w:left="357"/>
        <w:jc w:val="both"/>
        <w:rPr>
          <w:rFonts w:ascii="Work Sans" w:hAnsi="Work Sans"/>
          <w:sz w:val="24"/>
          <w:szCs w:val="20"/>
        </w:rPr>
      </w:pPr>
    </w:p>
    <w:p w:rsidR="00E601EA" w:rsidRPr="00674B68" w:rsidRDefault="00E601EA" w:rsidP="001D735F">
      <w:pPr>
        <w:pStyle w:val="Paragraphedeliste"/>
        <w:spacing w:after="0" w:line="240" w:lineRule="auto"/>
        <w:ind w:left="357"/>
        <w:jc w:val="both"/>
        <w:rPr>
          <w:rFonts w:ascii="Work Sans" w:hAnsi="Work Sans"/>
          <w:sz w:val="24"/>
          <w:szCs w:val="20"/>
        </w:rPr>
      </w:pPr>
    </w:p>
    <w:p w:rsidR="00816F0A" w:rsidRPr="00674B68" w:rsidRDefault="00816F0A" w:rsidP="00816F0A">
      <w:pPr>
        <w:pStyle w:val="Paragraphedeliste"/>
        <w:numPr>
          <w:ilvl w:val="0"/>
          <w:numId w:val="8"/>
        </w:numPr>
        <w:spacing w:after="0" w:line="240" w:lineRule="auto"/>
        <w:jc w:val="both"/>
        <w:rPr>
          <w:rFonts w:ascii="Work Sans" w:hAnsi="Work Sans"/>
          <w:sz w:val="24"/>
          <w:szCs w:val="20"/>
        </w:rPr>
      </w:pPr>
      <w:r w:rsidRPr="00674B68">
        <w:rPr>
          <w:rFonts w:ascii="Work Sans" w:hAnsi="Work Sans"/>
          <w:b/>
          <w:sz w:val="24"/>
          <w:szCs w:val="20"/>
          <w:u w:val="single"/>
        </w:rPr>
        <w:t xml:space="preserve">Retour sur le compte-rendu du </w:t>
      </w:r>
      <w:r w:rsidR="008963DC" w:rsidRPr="00674B68">
        <w:rPr>
          <w:rFonts w:ascii="Work Sans" w:hAnsi="Work Sans"/>
          <w:b/>
          <w:sz w:val="24"/>
          <w:szCs w:val="20"/>
          <w:u w:val="single"/>
        </w:rPr>
        <w:t>2</w:t>
      </w:r>
      <w:r w:rsidR="00C22AAC" w:rsidRPr="00674B68">
        <w:rPr>
          <w:rFonts w:ascii="Work Sans" w:hAnsi="Work Sans"/>
          <w:b/>
          <w:sz w:val="24"/>
          <w:szCs w:val="20"/>
          <w:u w:val="single"/>
        </w:rPr>
        <w:t>/</w:t>
      </w:r>
      <w:r w:rsidR="008963DC" w:rsidRPr="00674B68">
        <w:rPr>
          <w:rFonts w:ascii="Work Sans" w:hAnsi="Work Sans"/>
          <w:b/>
          <w:sz w:val="24"/>
          <w:szCs w:val="20"/>
          <w:u w:val="single"/>
        </w:rPr>
        <w:t>10</w:t>
      </w:r>
      <w:r w:rsidR="00C22AAC" w:rsidRPr="00674B68">
        <w:rPr>
          <w:rFonts w:ascii="Work Sans" w:hAnsi="Work Sans"/>
          <w:b/>
          <w:sz w:val="24"/>
          <w:szCs w:val="20"/>
          <w:u w:val="single"/>
        </w:rPr>
        <w:t>/2019</w:t>
      </w:r>
      <w:r w:rsidRPr="00674B68">
        <w:rPr>
          <w:rFonts w:ascii="Work Sans" w:hAnsi="Work Sans"/>
          <w:b/>
          <w:sz w:val="24"/>
          <w:szCs w:val="20"/>
          <w:u w:val="single"/>
        </w:rPr>
        <w:t xml:space="preserve"> :</w:t>
      </w:r>
    </w:p>
    <w:p w:rsidR="00816F0A" w:rsidRPr="00674B68" w:rsidRDefault="00816F0A" w:rsidP="001D735F">
      <w:pPr>
        <w:pStyle w:val="Paragraphedeliste"/>
        <w:spacing w:after="0" w:line="240" w:lineRule="auto"/>
        <w:ind w:left="357"/>
        <w:jc w:val="both"/>
        <w:rPr>
          <w:rFonts w:ascii="Work Sans" w:hAnsi="Work Sans"/>
          <w:sz w:val="24"/>
          <w:szCs w:val="20"/>
        </w:rPr>
      </w:pPr>
    </w:p>
    <w:p w:rsidR="003C2CFD" w:rsidRPr="00674B68" w:rsidRDefault="003C2CFD" w:rsidP="001D735F">
      <w:pPr>
        <w:pStyle w:val="Paragraphedeliste"/>
        <w:spacing w:after="0" w:line="240" w:lineRule="auto"/>
        <w:ind w:left="357"/>
        <w:jc w:val="both"/>
        <w:rPr>
          <w:rStyle w:val="Lienhypertexte"/>
          <w:rFonts w:ascii="Work Sans" w:hAnsi="Work Sans"/>
          <w:sz w:val="24"/>
          <w:szCs w:val="20"/>
        </w:rPr>
      </w:pPr>
      <w:r w:rsidRPr="00674B68">
        <w:rPr>
          <w:rFonts w:ascii="Work Sans" w:hAnsi="Work Sans"/>
          <w:sz w:val="24"/>
          <w:szCs w:val="20"/>
        </w:rPr>
        <w:t xml:space="preserve">- </w:t>
      </w:r>
      <w:r w:rsidR="008963DC" w:rsidRPr="00674B68">
        <w:rPr>
          <w:rFonts w:ascii="Work Sans" w:hAnsi="Work Sans"/>
          <w:sz w:val="24"/>
          <w:szCs w:val="20"/>
        </w:rPr>
        <w:t xml:space="preserve">le lien concernant le fonctionnement de la PEDR a été précisé : </w:t>
      </w:r>
      <w:hyperlink r:id="rId7" w:history="1">
        <w:r w:rsidR="004104EE" w:rsidRPr="00674B68">
          <w:rPr>
            <w:rStyle w:val="Lienhypertexte"/>
            <w:rFonts w:ascii="Work Sans" w:hAnsi="Work Sans"/>
            <w:sz w:val="24"/>
            <w:szCs w:val="20"/>
          </w:rPr>
          <w:t>https://www.univ-tours.fr/medias/fichier/deliberation-n-2018-93-approuvant-les-criteres-d-attribution-de-la-prime-d-encadrement-doctoral-et-de-recherche_1563195628003-pdf?ID_FICHE=14057&amp;INLINE=FALSE</w:t>
        </w:r>
      </w:hyperlink>
    </w:p>
    <w:p w:rsidR="004104EE" w:rsidRPr="00674B68" w:rsidRDefault="004104EE" w:rsidP="001D735F">
      <w:pPr>
        <w:pStyle w:val="Paragraphedeliste"/>
        <w:spacing w:after="0" w:line="240" w:lineRule="auto"/>
        <w:ind w:left="357"/>
        <w:jc w:val="both"/>
        <w:rPr>
          <w:rFonts w:ascii="Work Sans" w:hAnsi="Work Sans"/>
          <w:sz w:val="24"/>
          <w:szCs w:val="20"/>
        </w:rPr>
      </w:pPr>
    </w:p>
    <w:p w:rsidR="00CE4161" w:rsidRPr="00674B68" w:rsidRDefault="00C22AAC"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w:t>
      </w:r>
      <w:r w:rsidR="004104EE" w:rsidRPr="00674B68">
        <w:rPr>
          <w:rFonts w:ascii="Work Sans" w:hAnsi="Work Sans"/>
          <w:sz w:val="24"/>
          <w:szCs w:val="20"/>
        </w:rPr>
        <w:t xml:space="preserve">complément sur </w:t>
      </w:r>
      <w:r w:rsidRPr="00674B68">
        <w:rPr>
          <w:rFonts w:ascii="Work Sans" w:hAnsi="Work Sans"/>
          <w:sz w:val="24"/>
          <w:szCs w:val="20"/>
        </w:rPr>
        <w:t>l</w:t>
      </w:r>
      <w:r w:rsidR="004104EE" w:rsidRPr="00674B68">
        <w:rPr>
          <w:rFonts w:ascii="Work Sans" w:hAnsi="Work Sans"/>
          <w:sz w:val="24"/>
          <w:szCs w:val="20"/>
        </w:rPr>
        <w:t>’organisation de la</w:t>
      </w:r>
      <w:r w:rsidR="004363D7" w:rsidRPr="00674B68">
        <w:rPr>
          <w:rFonts w:ascii="Work Sans" w:hAnsi="Work Sans"/>
          <w:sz w:val="24"/>
          <w:szCs w:val="20"/>
        </w:rPr>
        <w:t xml:space="preserve"> formation à l’encadrement doctoral : </w:t>
      </w:r>
      <w:r w:rsidR="004104EE" w:rsidRPr="00674B68">
        <w:rPr>
          <w:rFonts w:ascii="Work Sans" w:hAnsi="Work Sans"/>
          <w:sz w:val="24"/>
          <w:szCs w:val="20"/>
        </w:rPr>
        <w:t>dispensée sur 2 ans (1</w:t>
      </w:r>
      <w:r w:rsidR="004104EE" w:rsidRPr="00674B68">
        <w:rPr>
          <w:rFonts w:ascii="Work Sans" w:hAnsi="Work Sans"/>
          <w:sz w:val="24"/>
          <w:szCs w:val="20"/>
          <w:vertAlign w:val="superscript"/>
        </w:rPr>
        <w:t>ère</w:t>
      </w:r>
      <w:r w:rsidR="004104EE" w:rsidRPr="00674B68">
        <w:rPr>
          <w:rFonts w:ascii="Work Sans" w:hAnsi="Work Sans"/>
          <w:sz w:val="24"/>
          <w:szCs w:val="20"/>
        </w:rPr>
        <w:t xml:space="preserve"> année : encadrement doctoral / 2</w:t>
      </w:r>
      <w:r w:rsidR="004104EE" w:rsidRPr="00674B68">
        <w:rPr>
          <w:rFonts w:ascii="Work Sans" w:hAnsi="Work Sans"/>
          <w:sz w:val="24"/>
          <w:szCs w:val="20"/>
          <w:vertAlign w:val="superscript"/>
        </w:rPr>
        <w:t>ème</w:t>
      </w:r>
      <w:r w:rsidR="004104EE" w:rsidRPr="00674B68">
        <w:rPr>
          <w:rFonts w:ascii="Work Sans" w:hAnsi="Work Sans"/>
          <w:sz w:val="24"/>
          <w:szCs w:val="20"/>
        </w:rPr>
        <w:t xml:space="preserve"> année : ateliers pratiques).</w:t>
      </w:r>
    </w:p>
    <w:p w:rsidR="00C22AAC" w:rsidRPr="00674B68" w:rsidRDefault="00C22AAC" w:rsidP="001D735F">
      <w:pPr>
        <w:pStyle w:val="Paragraphedeliste"/>
        <w:spacing w:after="0" w:line="240" w:lineRule="auto"/>
        <w:ind w:left="357"/>
        <w:jc w:val="both"/>
        <w:rPr>
          <w:rFonts w:ascii="Work Sans" w:hAnsi="Work Sans"/>
          <w:sz w:val="24"/>
          <w:szCs w:val="20"/>
        </w:rPr>
      </w:pPr>
    </w:p>
    <w:p w:rsidR="00C22AAC" w:rsidRPr="00674B68" w:rsidRDefault="00C22AAC"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w:t>
      </w:r>
      <w:r w:rsidR="004363D7" w:rsidRPr="00674B68">
        <w:rPr>
          <w:rFonts w:ascii="Work Sans" w:hAnsi="Work Sans"/>
          <w:sz w:val="24"/>
          <w:szCs w:val="20"/>
        </w:rPr>
        <w:t>précision apportée concernant le nombre d’heures nécessaires pour un doctorant avant de soutenir sa thèse : 100</w:t>
      </w:r>
      <w:r w:rsidR="00C943AE" w:rsidRPr="00674B68">
        <w:rPr>
          <w:rFonts w:ascii="Work Sans" w:hAnsi="Work Sans"/>
          <w:sz w:val="24"/>
          <w:szCs w:val="20"/>
        </w:rPr>
        <w:t>h</w:t>
      </w:r>
      <w:r w:rsidR="004363D7" w:rsidRPr="00674B68">
        <w:rPr>
          <w:rFonts w:ascii="Work Sans" w:hAnsi="Work Sans"/>
          <w:sz w:val="24"/>
          <w:szCs w:val="20"/>
        </w:rPr>
        <w:t>.</w:t>
      </w:r>
    </w:p>
    <w:p w:rsidR="002C5C7B" w:rsidRPr="00674B68" w:rsidRDefault="002C5C7B" w:rsidP="001D735F">
      <w:pPr>
        <w:pStyle w:val="Paragraphedeliste"/>
        <w:spacing w:after="0" w:line="240" w:lineRule="auto"/>
        <w:ind w:left="357"/>
        <w:jc w:val="both"/>
        <w:rPr>
          <w:rFonts w:ascii="Work Sans" w:hAnsi="Work Sans"/>
          <w:sz w:val="24"/>
          <w:szCs w:val="20"/>
        </w:rPr>
      </w:pPr>
    </w:p>
    <w:p w:rsidR="00C22AAC" w:rsidRPr="00674B68" w:rsidRDefault="00A0410D"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w:t>
      </w:r>
      <w:r w:rsidR="00551067" w:rsidRPr="00674B68">
        <w:rPr>
          <w:rFonts w:ascii="Work Sans" w:hAnsi="Work Sans"/>
          <w:sz w:val="24"/>
          <w:szCs w:val="20"/>
        </w:rPr>
        <w:t xml:space="preserve">nécessité d’opérer une </w:t>
      </w:r>
      <w:r w:rsidR="004363D7" w:rsidRPr="00674B68">
        <w:rPr>
          <w:rFonts w:ascii="Work Sans" w:hAnsi="Work Sans"/>
          <w:sz w:val="24"/>
          <w:szCs w:val="20"/>
        </w:rPr>
        <w:t xml:space="preserve">distinction entre le CRCT recherche (classique) et le CRCT </w:t>
      </w:r>
      <w:r w:rsidR="00551067" w:rsidRPr="00674B68">
        <w:rPr>
          <w:rFonts w:ascii="Work Sans" w:hAnsi="Work Sans"/>
          <w:sz w:val="24"/>
          <w:szCs w:val="20"/>
        </w:rPr>
        <w:t>pédagogie (10 à 12 personnes au total</w:t>
      </w:r>
      <w:r w:rsidR="00E97450" w:rsidRPr="00674B68">
        <w:rPr>
          <w:rFonts w:ascii="Work Sans" w:hAnsi="Work Sans"/>
          <w:sz w:val="24"/>
          <w:szCs w:val="20"/>
        </w:rPr>
        <w:t xml:space="preserve"> par an</w:t>
      </w:r>
      <w:r w:rsidR="00551067" w:rsidRPr="00674B68">
        <w:rPr>
          <w:rFonts w:ascii="Work Sans" w:hAnsi="Work Sans"/>
          <w:sz w:val="24"/>
          <w:szCs w:val="20"/>
        </w:rPr>
        <w:t xml:space="preserve"> à l’UT).</w:t>
      </w:r>
    </w:p>
    <w:p w:rsidR="005F4BE0" w:rsidRPr="00674B68" w:rsidRDefault="005F4BE0" w:rsidP="001D735F">
      <w:pPr>
        <w:pStyle w:val="Paragraphedeliste"/>
        <w:spacing w:after="0" w:line="240" w:lineRule="auto"/>
        <w:ind w:left="357"/>
        <w:jc w:val="both"/>
        <w:rPr>
          <w:rFonts w:ascii="Work Sans" w:hAnsi="Work Sans"/>
          <w:sz w:val="24"/>
          <w:szCs w:val="20"/>
        </w:rPr>
      </w:pPr>
    </w:p>
    <w:p w:rsidR="005F4BE0" w:rsidRPr="00674B68" w:rsidRDefault="005F4BE0"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rajout d’une action visant à évaluer le dispositif des EC en situation de désoeuvrement : d’une part, un bilan par écrit des entretiens à effectuer par </w:t>
      </w:r>
      <w:r w:rsidRPr="00674B68">
        <w:rPr>
          <w:rFonts w:ascii="Work Sans" w:hAnsi="Work Sans"/>
          <w:sz w:val="24"/>
          <w:szCs w:val="20"/>
        </w:rPr>
        <w:lastRenderedPageBreak/>
        <w:t xml:space="preserve">les VP concernés (traçabilité), et d’autre part réaliser un suivi sur une période de 3 ans en reprenant contact avec les bénéficiaires. </w:t>
      </w:r>
    </w:p>
    <w:p w:rsidR="003B467C" w:rsidRPr="00674B68" w:rsidRDefault="003B467C" w:rsidP="001D735F">
      <w:pPr>
        <w:pStyle w:val="Paragraphedeliste"/>
        <w:spacing w:after="0" w:line="240" w:lineRule="auto"/>
        <w:ind w:left="357"/>
        <w:jc w:val="both"/>
        <w:rPr>
          <w:rFonts w:ascii="Work Sans" w:hAnsi="Work Sans"/>
          <w:sz w:val="24"/>
          <w:szCs w:val="20"/>
        </w:rPr>
      </w:pPr>
    </w:p>
    <w:p w:rsidR="0027231C" w:rsidRPr="00674B68" w:rsidRDefault="003B467C" w:rsidP="001D735F">
      <w:pPr>
        <w:pStyle w:val="Paragraphedeliste"/>
        <w:spacing w:after="0" w:line="240" w:lineRule="auto"/>
        <w:ind w:left="357"/>
        <w:jc w:val="both"/>
        <w:rPr>
          <w:rFonts w:ascii="Work Sans" w:hAnsi="Work Sans"/>
          <w:sz w:val="24"/>
          <w:szCs w:val="20"/>
        </w:rPr>
      </w:pPr>
      <w:r w:rsidRPr="00674B68">
        <w:rPr>
          <w:rFonts w:ascii="Work Sans" w:hAnsi="Work Sans"/>
          <w:sz w:val="24"/>
          <w:szCs w:val="20"/>
        </w:rPr>
        <w:t xml:space="preserve">- </w:t>
      </w:r>
      <w:r w:rsidR="003C3814" w:rsidRPr="00674B68">
        <w:rPr>
          <w:rFonts w:ascii="Work Sans" w:hAnsi="Work Sans"/>
          <w:sz w:val="24"/>
          <w:szCs w:val="20"/>
        </w:rPr>
        <w:t>à noter que la traduction en langue anglaise des documents disponibles sur le site du collège doctoral est en cours de réalisation.</w:t>
      </w:r>
    </w:p>
    <w:p w:rsidR="0027231C" w:rsidRPr="00674B68" w:rsidRDefault="0027231C" w:rsidP="001D735F">
      <w:pPr>
        <w:pStyle w:val="Paragraphedeliste"/>
        <w:spacing w:after="0" w:line="240" w:lineRule="auto"/>
        <w:ind w:left="357"/>
        <w:jc w:val="both"/>
        <w:rPr>
          <w:rFonts w:ascii="Work Sans" w:hAnsi="Work Sans"/>
          <w:sz w:val="24"/>
          <w:szCs w:val="20"/>
        </w:rPr>
      </w:pPr>
    </w:p>
    <w:p w:rsidR="004104EE" w:rsidRPr="00674B68" w:rsidRDefault="004104EE" w:rsidP="001D735F">
      <w:pPr>
        <w:pStyle w:val="Paragraphedeliste"/>
        <w:spacing w:after="0" w:line="240" w:lineRule="auto"/>
        <w:ind w:left="357"/>
        <w:jc w:val="both"/>
        <w:rPr>
          <w:rFonts w:ascii="Work Sans" w:hAnsi="Work Sans"/>
          <w:sz w:val="24"/>
          <w:szCs w:val="20"/>
        </w:rPr>
      </w:pPr>
    </w:p>
    <w:p w:rsidR="0078679B" w:rsidRPr="00674B68" w:rsidRDefault="00FE314B" w:rsidP="003611AE">
      <w:pPr>
        <w:pStyle w:val="Paragraphedeliste"/>
        <w:numPr>
          <w:ilvl w:val="0"/>
          <w:numId w:val="1"/>
        </w:numPr>
        <w:spacing w:line="240" w:lineRule="auto"/>
        <w:jc w:val="both"/>
        <w:rPr>
          <w:rFonts w:ascii="Work Sans" w:hAnsi="Work Sans"/>
          <w:sz w:val="24"/>
          <w:szCs w:val="20"/>
        </w:rPr>
      </w:pPr>
      <w:r w:rsidRPr="00674B68">
        <w:rPr>
          <w:rFonts w:ascii="Work Sans" w:hAnsi="Work Sans"/>
          <w:b/>
          <w:sz w:val="24"/>
          <w:szCs w:val="20"/>
          <w:u w:val="single"/>
        </w:rPr>
        <w:t>Fin de réunion et suite :</w:t>
      </w:r>
      <w:r w:rsidRPr="00674B68">
        <w:rPr>
          <w:rFonts w:ascii="Work Sans" w:hAnsi="Work Sans"/>
          <w:b/>
          <w:sz w:val="24"/>
          <w:szCs w:val="20"/>
        </w:rPr>
        <w:t xml:space="preserve"> </w:t>
      </w:r>
      <w:r w:rsidR="008A37E1" w:rsidRPr="00674B68">
        <w:rPr>
          <w:rFonts w:ascii="Work Sans" w:hAnsi="Work Sans"/>
          <w:sz w:val="24"/>
          <w:szCs w:val="20"/>
        </w:rPr>
        <w:t xml:space="preserve">l’ensemble </w:t>
      </w:r>
      <w:r w:rsidR="0076619B" w:rsidRPr="00674B68">
        <w:rPr>
          <w:rFonts w:ascii="Work Sans" w:hAnsi="Work Sans"/>
          <w:sz w:val="24"/>
          <w:szCs w:val="20"/>
        </w:rPr>
        <w:t>des</w:t>
      </w:r>
      <w:r w:rsidR="008963DC" w:rsidRPr="00674B68">
        <w:rPr>
          <w:rFonts w:ascii="Work Sans" w:hAnsi="Work Sans"/>
          <w:sz w:val="24"/>
          <w:szCs w:val="20"/>
        </w:rPr>
        <w:t xml:space="preserve"> items ont été passés en revue et discutés ; il s’agissait donc aujourd’hui de la </w:t>
      </w:r>
      <w:r w:rsidR="0076619B" w:rsidRPr="00674B68">
        <w:rPr>
          <w:rFonts w:ascii="Work Sans" w:hAnsi="Work Sans"/>
          <w:sz w:val="24"/>
          <w:szCs w:val="20"/>
        </w:rPr>
        <w:t xml:space="preserve">troisième et </w:t>
      </w:r>
      <w:r w:rsidR="008963DC" w:rsidRPr="00674B68">
        <w:rPr>
          <w:rFonts w:ascii="Work Sans" w:hAnsi="Work Sans"/>
          <w:sz w:val="24"/>
          <w:szCs w:val="20"/>
        </w:rPr>
        <w:t>d</w:t>
      </w:r>
      <w:r w:rsidR="0076619B" w:rsidRPr="00674B68">
        <w:rPr>
          <w:rFonts w:ascii="Work Sans" w:hAnsi="Work Sans"/>
          <w:sz w:val="24"/>
          <w:szCs w:val="20"/>
        </w:rPr>
        <w:t xml:space="preserve">ernière </w:t>
      </w:r>
      <w:r w:rsidR="008A37E1" w:rsidRPr="00674B68">
        <w:rPr>
          <w:rFonts w:ascii="Work Sans" w:hAnsi="Work Sans"/>
          <w:sz w:val="24"/>
          <w:szCs w:val="20"/>
        </w:rPr>
        <w:t>réunion</w:t>
      </w:r>
      <w:r w:rsidR="008963DC" w:rsidRPr="00674B68">
        <w:rPr>
          <w:rFonts w:ascii="Work Sans" w:hAnsi="Work Sans"/>
          <w:sz w:val="24"/>
          <w:szCs w:val="20"/>
        </w:rPr>
        <w:t xml:space="preserve"> du GT4</w:t>
      </w:r>
      <w:r w:rsidR="008A37E1" w:rsidRPr="00674B68">
        <w:rPr>
          <w:rFonts w:ascii="Work Sans" w:hAnsi="Work Sans"/>
          <w:sz w:val="24"/>
          <w:szCs w:val="20"/>
        </w:rPr>
        <w:t>.</w:t>
      </w:r>
      <w:r w:rsidR="008963DC" w:rsidRPr="00674B68">
        <w:rPr>
          <w:rFonts w:ascii="Work Sans" w:hAnsi="Work Sans"/>
          <w:sz w:val="24"/>
          <w:szCs w:val="20"/>
        </w:rPr>
        <w:t xml:space="preserve"> La restitution de l’ensemble du travail des différents GT est prévue lors du Comité de Pilotage Stratégique du 28/11 à 10h30 – salle des actes de l’UFR Médecine.</w:t>
      </w:r>
      <w:bookmarkStart w:id="0" w:name="_GoBack"/>
      <w:bookmarkEnd w:id="0"/>
    </w:p>
    <w:sectPr w:rsidR="0078679B" w:rsidRPr="00674B68" w:rsidSect="00CE4161">
      <w:pgSz w:w="11906" w:h="16838"/>
      <w:pgMar w:top="680" w:right="1418" w:bottom="102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568"/>
    <w:multiLevelType w:val="hybridMultilevel"/>
    <w:tmpl w:val="E8BE55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17A5A35"/>
    <w:multiLevelType w:val="hybridMultilevel"/>
    <w:tmpl w:val="E878007C"/>
    <w:lvl w:ilvl="0" w:tplc="040C000B">
      <w:start w:val="1"/>
      <w:numFmt w:val="bullet"/>
      <w:lvlText w:val=""/>
      <w:lvlJc w:val="left"/>
      <w:pPr>
        <w:ind w:left="1080" w:hanging="360"/>
      </w:pPr>
      <w:rPr>
        <w:rFonts w:ascii="Wingdings" w:hAnsi="Wingdings" w:hint="default"/>
      </w:rPr>
    </w:lvl>
    <w:lvl w:ilvl="1" w:tplc="040C000B">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59B4311"/>
    <w:multiLevelType w:val="hybridMultilevel"/>
    <w:tmpl w:val="4EBE254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E627C7D"/>
    <w:multiLevelType w:val="hybridMultilevel"/>
    <w:tmpl w:val="27C4E1A2"/>
    <w:lvl w:ilvl="0" w:tplc="FD7E6FB0">
      <w:numFmt w:val="bullet"/>
      <w:lvlText w:val="-"/>
      <w:lvlJc w:val="left"/>
      <w:pPr>
        <w:ind w:left="927" w:hanging="360"/>
      </w:pPr>
      <w:rPr>
        <w:rFonts w:ascii="Work Sans" w:eastAsiaTheme="minorHAnsi" w:hAnsi="Work Sans"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449C5BA4"/>
    <w:multiLevelType w:val="hybridMultilevel"/>
    <w:tmpl w:val="B590056E"/>
    <w:lvl w:ilvl="0" w:tplc="2EF286C4">
      <w:start w:val="13"/>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37055D"/>
    <w:multiLevelType w:val="hybridMultilevel"/>
    <w:tmpl w:val="8BCC8B34"/>
    <w:lvl w:ilvl="0" w:tplc="A7D40FCC">
      <w:start w:val="2"/>
      <w:numFmt w:val="bullet"/>
      <w:lvlText w:val="-"/>
      <w:lvlJc w:val="left"/>
      <w:pPr>
        <w:ind w:left="777" w:hanging="360"/>
      </w:pPr>
      <w:rPr>
        <w:rFonts w:ascii="Work Sans" w:eastAsiaTheme="minorHAnsi" w:hAnsi="Work Sans" w:cstheme="minorBidi"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6" w15:restartNumberingAfterBreak="0">
    <w:nsid w:val="5D1E119E"/>
    <w:multiLevelType w:val="hybridMultilevel"/>
    <w:tmpl w:val="2DA0C356"/>
    <w:lvl w:ilvl="0" w:tplc="040C000B">
      <w:start w:val="1"/>
      <w:numFmt w:val="bullet"/>
      <w:lvlText w:val=""/>
      <w:lvlJc w:val="left"/>
      <w:pPr>
        <w:ind w:left="1287" w:hanging="360"/>
      </w:pPr>
      <w:rPr>
        <w:rFonts w:ascii="Wingdings" w:hAnsi="Wingdings" w:hint="default"/>
      </w:rPr>
    </w:lvl>
    <w:lvl w:ilvl="1" w:tplc="7744DB4C">
      <w:numFmt w:val="bullet"/>
      <w:lvlText w:val="-"/>
      <w:lvlJc w:val="left"/>
      <w:pPr>
        <w:ind w:left="2007" w:hanging="360"/>
      </w:pPr>
      <w:rPr>
        <w:rFonts w:ascii="Work Sans" w:eastAsiaTheme="minorHAnsi" w:hAnsi="Work Sans" w:cstheme="minorBidi"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65ED7B82"/>
    <w:multiLevelType w:val="hybridMultilevel"/>
    <w:tmpl w:val="AE9C1C32"/>
    <w:lvl w:ilvl="0" w:tplc="024EBEFE">
      <w:start w:val="2"/>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216F56"/>
    <w:multiLevelType w:val="hybridMultilevel"/>
    <w:tmpl w:val="4D80C066"/>
    <w:lvl w:ilvl="0" w:tplc="8D6CDAB8">
      <w:start w:val="12"/>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8496B82"/>
    <w:multiLevelType w:val="hybridMultilevel"/>
    <w:tmpl w:val="3D40357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
  </w:num>
  <w:num w:numId="4">
    <w:abstractNumId w:val="5"/>
  </w:num>
  <w:num w:numId="5">
    <w:abstractNumId w:val="7"/>
  </w:num>
  <w:num w:numId="6">
    <w:abstractNumId w:val="6"/>
  </w:num>
  <w:num w:numId="7">
    <w:abstractNumId w:val="3"/>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FC5"/>
    <w:rsid w:val="00002660"/>
    <w:rsid w:val="00005248"/>
    <w:rsid w:val="000131E3"/>
    <w:rsid w:val="00014660"/>
    <w:rsid w:val="00027CFB"/>
    <w:rsid w:val="00034488"/>
    <w:rsid w:val="000603DF"/>
    <w:rsid w:val="000701E8"/>
    <w:rsid w:val="00080541"/>
    <w:rsid w:val="00091CDB"/>
    <w:rsid w:val="000B0942"/>
    <w:rsid w:val="000B2B6B"/>
    <w:rsid w:val="000B311D"/>
    <w:rsid w:val="000C2EAE"/>
    <w:rsid w:val="000D608B"/>
    <w:rsid w:val="000D67FF"/>
    <w:rsid w:val="000F039A"/>
    <w:rsid w:val="000F12AD"/>
    <w:rsid w:val="0010073A"/>
    <w:rsid w:val="001134F6"/>
    <w:rsid w:val="0012348E"/>
    <w:rsid w:val="001464A6"/>
    <w:rsid w:val="00154BF4"/>
    <w:rsid w:val="00170327"/>
    <w:rsid w:val="001811D6"/>
    <w:rsid w:val="001A57F1"/>
    <w:rsid w:val="001A7622"/>
    <w:rsid w:val="001B71AF"/>
    <w:rsid w:val="001D0C7F"/>
    <w:rsid w:val="001D5A26"/>
    <w:rsid w:val="001D735F"/>
    <w:rsid w:val="00206805"/>
    <w:rsid w:val="00226C9A"/>
    <w:rsid w:val="00247902"/>
    <w:rsid w:val="002503DA"/>
    <w:rsid w:val="002553FC"/>
    <w:rsid w:val="0027231C"/>
    <w:rsid w:val="002750A4"/>
    <w:rsid w:val="00277A8B"/>
    <w:rsid w:val="002B14B4"/>
    <w:rsid w:val="002B3D41"/>
    <w:rsid w:val="002C5C7B"/>
    <w:rsid w:val="002D20FF"/>
    <w:rsid w:val="002E342A"/>
    <w:rsid w:val="00300D48"/>
    <w:rsid w:val="00331A6D"/>
    <w:rsid w:val="00333ABA"/>
    <w:rsid w:val="00341153"/>
    <w:rsid w:val="0035603B"/>
    <w:rsid w:val="003664AF"/>
    <w:rsid w:val="00376671"/>
    <w:rsid w:val="00382C0D"/>
    <w:rsid w:val="003835C2"/>
    <w:rsid w:val="00390B47"/>
    <w:rsid w:val="003A1B95"/>
    <w:rsid w:val="003B0CC6"/>
    <w:rsid w:val="003B467C"/>
    <w:rsid w:val="003C2CFD"/>
    <w:rsid w:val="003C3814"/>
    <w:rsid w:val="003C7E44"/>
    <w:rsid w:val="003E00AD"/>
    <w:rsid w:val="003E7AA2"/>
    <w:rsid w:val="003F1D59"/>
    <w:rsid w:val="003F48DC"/>
    <w:rsid w:val="003F5195"/>
    <w:rsid w:val="0040314D"/>
    <w:rsid w:val="004104EE"/>
    <w:rsid w:val="00410CC7"/>
    <w:rsid w:val="00412032"/>
    <w:rsid w:val="00417A22"/>
    <w:rsid w:val="004363D7"/>
    <w:rsid w:val="0045645A"/>
    <w:rsid w:val="004748EA"/>
    <w:rsid w:val="004B0F53"/>
    <w:rsid w:val="004D3AF8"/>
    <w:rsid w:val="004D79E9"/>
    <w:rsid w:val="004E438E"/>
    <w:rsid w:val="004E7540"/>
    <w:rsid w:val="004F379B"/>
    <w:rsid w:val="00506978"/>
    <w:rsid w:val="00512682"/>
    <w:rsid w:val="005279CA"/>
    <w:rsid w:val="00537508"/>
    <w:rsid w:val="00546CA5"/>
    <w:rsid w:val="00551067"/>
    <w:rsid w:val="00567DC4"/>
    <w:rsid w:val="005726FE"/>
    <w:rsid w:val="00573671"/>
    <w:rsid w:val="00584DF1"/>
    <w:rsid w:val="005958E3"/>
    <w:rsid w:val="005A0F03"/>
    <w:rsid w:val="005D0D73"/>
    <w:rsid w:val="005D5DB6"/>
    <w:rsid w:val="005F4BE0"/>
    <w:rsid w:val="006025D7"/>
    <w:rsid w:val="00607EDB"/>
    <w:rsid w:val="00613CBC"/>
    <w:rsid w:val="00645912"/>
    <w:rsid w:val="00660DC8"/>
    <w:rsid w:val="00663132"/>
    <w:rsid w:val="00674B68"/>
    <w:rsid w:val="006766C2"/>
    <w:rsid w:val="006C2D9C"/>
    <w:rsid w:val="006C7104"/>
    <w:rsid w:val="006D320F"/>
    <w:rsid w:val="006D5DDF"/>
    <w:rsid w:val="006D6262"/>
    <w:rsid w:val="006D6413"/>
    <w:rsid w:val="006E598A"/>
    <w:rsid w:val="006E6E08"/>
    <w:rsid w:val="007005B2"/>
    <w:rsid w:val="0071771F"/>
    <w:rsid w:val="00727565"/>
    <w:rsid w:val="007346AF"/>
    <w:rsid w:val="007471DF"/>
    <w:rsid w:val="00752B3F"/>
    <w:rsid w:val="007600AF"/>
    <w:rsid w:val="00762E6C"/>
    <w:rsid w:val="00764BD4"/>
    <w:rsid w:val="0076619B"/>
    <w:rsid w:val="00766E09"/>
    <w:rsid w:val="0078679B"/>
    <w:rsid w:val="00786DFF"/>
    <w:rsid w:val="00791C4E"/>
    <w:rsid w:val="00792162"/>
    <w:rsid w:val="007A5D00"/>
    <w:rsid w:val="007B35F5"/>
    <w:rsid w:val="007C3FEB"/>
    <w:rsid w:val="007D6ED6"/>
    <w:rsid w:val="007D73B9"/>
    <w:rsid w:val="007E6D6E"/>
    <w:rsid w:val="00807B3D"/>
    <w:rsid w:val="00807DB6"/>
    <w:rsid w:val="00807DCA"/>
    <w:rsid w:val="00815171"/>
    <w:rsid w:val="00816F0A"/>
    <w:rsid w:val="008172C2"/>
    <w:rsid w:val="00817416"/>
    <w:rsid w:val="00824A59"/>
    <w:rsid w:val="00827BC8"/>
    <w:rsid w:val="00830F6C"/>
    <w:rsid w:val="00861A8C"/>
    <w:rsid w:val="008721BF"/>
    <w:rsid w:val="00874043"/>
    <w:rsid w:val="008741F9"/>
    <w:rsid w:val="008755F9"/>
    <w:rsid w:val="00882AF1"/>
    <w:rsid w:val="0089443E"/>
    <w:rsid w:val="008963DC"/>
    <w:rsid w:val="008A37E1"/>
    <w:rsid w:val="008C35B2"/>
    <w:rsid w:val="009043C2"/>
    <w:rsid w:val="00917C0D"/>
    <w:rsid w:val="009217D8"/>
    <w:rsid w:val="00926FD5"/>
    <w:rsid w:val="009358CC"/>
    <w:rsid w:val="00937B9D"/>
    <w:rsid w:val="00937BD8"/>
    <w:rsid w:val="00960F6D"/>
    <w:rsid w:val="00966FE5"/>
    <w:rsid w:val="009747E7"/>
    <w:rsid w:val="00994E63"/>
    <w:rsid w:val="009B0347"/>
    <w:rsid w:val="009C25B9"/>
    <w:rsid w:val="009D5E84"/>
    <w:rsid w:val="009E479D"/>
    <w:rsid w:val="009E6E02"/>
    <w:rsid w:val="00A0410D"/>
    <w:rsid w:val="00A12006"/>
    <w:rsid w:val="00A27489"/>
    <w:rsid w:val="00A2789F"/>
    <w:rsid w:val="00A318EB"/>
    <w:rsid w:val="00A7345A"/>
    <w:rsid w:val="00A815F1"/>
    <w:rsid w:val="00A8258C"/>
    <w:rsid w:val="00A83D4A"/>
    <w:rsid w:val="00A94031"/>
    <w:rsid w:val="00AA3526"/>
    <w:rsid w:val="00AB34FB"/>
    <w:rsid w:val="00AB5900"/>
    <w:rsid w:val="00AC3C18"/>
    <w:rsid w:val="00AD09F0"/>
    <w:rsid w:val="00AD134F"/>
    <w:rsid w:val="00AD6810"/>
    <w:rsid w:val="00AD695A"/>
    <w:rsid w:val="00AE6313"/>
    <w:rsid w:val="00AF5FA4"/>
    <w:rsid w:val="00B211F8"/>
    <w:rsid w:val="00B2160A"/>
    <w:rsid w:val="00B25BC0"/>
    <w:rsid w:val="00B27154"/>
    <w:rsid w:val="00B52915"/>
    <w:rsid w:val="00B71547"/>
    <w:rsid w:val="00B87D52"/>
    <w:rsid w:val="00B91A56"/>
    <w:rsid w:val="00BA2C24"/>
    <w:rsid w:val="00BA7EFC"/>
    <w:rsid w:val="00BB450B"/>
    <w:rsid w:val="00BC1D84"/>
    <w:rsid w:val="00BD68C7"/>
    <w:rsid w:val="00BE29F5"/>
    <w:rsid w:val="00BF2AF4"/>
    <w:rsid w:val="00C04765"/>
    <w:rsid w:val="00C0585C"/>
    <w:rsid w:val="00C17135"/>
    <w:rsid w:val="00C22AAC"/>
    <w:rsid w:val="00C31FD4"/>
    <w:rsid w:val="00C3749A"/>
    <w:rsid w:val="00C55D61"/>
    <w:rsid w:val="00C6673E"/>
    <w:rsid w:val="00C90725"/>
    <w:rsid w:val="00C935C0"/>
    <w:rsid w:val="00C943AE"/>
    <w:rsid w:val="00C97FF0"/>
    <w:rsid w:val="00CA40E4"/>
    <w:rsid w:val="00CA67C8"/>
    <w:rsid w:val="00CB39D6"/>
    <w:rsid w:val="00CC76B5"/>
    <w:rsid w:val="00CD507C"/>
    <w:rsid w:val="00CE4161"/>
    <w:rsid w:val="00D13A00"/>
    <w:rsid w:val="00D23207"/>
    <w:rsid w:val="00D24CFB"/>
    <w:rsid w:val="00D31344"/>
    <w:rsid w:val="00D50371"/>
    <w:rsid w:val="00D946BA"/>
    <w:rsid w:val="00D958F3"/>
    <w:rsid w:val="00DA362B"/>
    <w:rsid w:val="00DB53DA"/>
    <w:rsid w:val="00DE0D99"/>
    <w:rsid w:val="00DF0E63"/>
    <w:rsid w:val="00DF4104"/>
    <w:rsid w:val="00E00FC5"/>
    <w:rsid w:val="00E1656C"/>
    <w:rsid w:val="00E253DE"/>
    <w:rsid w:val="00E333EC"/>
    <w:rsid w:val="00E43E27"/>
    <w:rsid w:val="00E45122"/>
    <w:rsid w:val="00E601EA"/>
    <w:rsid w:val="00E6554F"/>
    <w:rsid w:val="00E85CC1"/>
    <w:rsid w:val="00E94646"/>
    <w:rsid w:val="00E97450"/>
    <w:rsid w:val="00E9759B"/>
    <w:rsid w:val="00EA2656"/>
    <w:rsid w:val="00EA477A"/>
    <w:rsid w:val="00EA63A6"/>
    <w:rsid w:val="00EC13B9"/>
    <w:rsid w:val="00EC1AC8"/>
    <w:rsid w:val="00EC3805"/>
    <w:rsid w:val="00EC7E12"/>
    <w:rsid w:val="00EE3897"/>
    <w:rsid w:val="00EF15D1"/>
    <w:rsid w:val="00EF6D43"/>
    <w:rsid w:val="00F03CFD"/>
    <w:rsid w:val="00F05A81"/>
    <w:rsid w:val="00F42088"/>
    <w:rsid w:val="00F8183B"/>
    <w:rsid w:val="00F83773"/>
    <w:rsid w:val="00F92B7C"/>
    <w:rsid w:val="00FA2BE2"/>
    <w:rsid w:val="00FB5369"/>
    <w:rsid w:val="00FE3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37210-C454-4B7E-AB3A-9A68DEA9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146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4D79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C4E"/>
    <w:pPr>
      <w:ind w:left="720"/>
      <w:contextualSpacing/>
    </w:pPr>
  </w:style>
  <w:style w:type="paragraph" w:styleId="Textedebulles">
    <w:name w:val="Balloon Text"/>
    <w:basedOn w:val="Normal"/>
    <w:link w:val="TextedebullesCar"/>
    <w:uiPriority w:val="99"/>
    <w:semiHidden/>
    <w:unhideWhenUsed/>
    <w:rsid w:val="007177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771F"/>
    <w:rPr>
      <w:rFonts w:ascii="Segoe UI" w:hAnsi="Segoe UI" w:cs="Segoe UI"/>
      <w:sz w:val="18"/>
      <w:szCs w:val="18"/>
    </w:rPr>
  </w:style>
  <w:style w:type="character" w:styleId="Lienhypertexte">
    <w:name w:val="Hyperlink"/>
    <w:basedOn w:val="Policepardfaut"/>
    <w:uiPriority w:val="99"/>
    <w:unhideWhenUsed/>
    <w:rsid w:val="003A1B95"/>
    <w:rPr>
      <w:color w:val="0563C1" w:themeColor="hyperlink"/>
      <w:u w:val="single"/>
    </w:rPr>
  </w:style>
  <w:style w:type="character" w:customStyle="1" w:styleId="Titre1Car">
    <w:name w:val="Titre 1 Car"/>
    <w:basedOn w:val="Policepardfaut"/>
    <w:link w:val="Titre1"/>
    <w:uiPriority w:val="9"/>
    <w:rsid w:val="00014660"/>
    <w:rPr>
      <w:rFonts w:asciiTheme="majorHAnsi" w:eastAsiaTheme="majorEastAsia" w:hAnsiTheme="majorHAnsi" w:cstheme="majorBidi"/>
      <w:color w:val="2E74B5" w:themeColor="accent1" w:themeShade="BF"/>
      <w:sz w:val="32"/>
      <w:szCs w:val="32"/>
    </w:rPr>
  </w:style>
  <w:style w:type="character" w:customStyle="1" w:styleId="Mentionnonrsolue1">
    <w:name w:val="Mention non résolue1"/>
    <w:basedOn w:val="Policepardfaut"/>
    <w:uiPriority w:val="99"/>
    <w:semiHidden/>
    <w:unhideWhenUsed/>
    <w:rsid w:val="00DA362B"/>
    <w:rPr>
      <w:color w:val="605E5C"/>
      <w:shd w:val="clear" w:color="auto" w:fill="E1DFDD"/>
    </w:rPr>
  </w:style>
  <w:style w:type="character" w:styleId="Lienhypertextesuivivisit">
    <w:name w:val="FollowedHyperlink"/>
    <w:basedOn w:val="Policepardfaut"/>
    <w:uiPriority w:val="99"/>
    <w:semiHidden/>
    <w:unhideWhenUsed/>
    <w:rsid w:val="00E1656C"/>
    <w:rPr>
      <w:color w:val="954F72" w:themeColor="followedHyperlink"/>
      <w:u w:val="single"/>
    </w:rPr>
  </w:style>
  <w:style w:type="character" w:customStyle="1" w:styleId="st">
    <w:name w:val="st"/>
    <w:basedOn w:val="Policepardfaut"/>
    <w:rsid w:val="003E7AA2"/>
  </w:style>
  <w:style w:type="character" w:styleId="Accentuation">
    <w:name w:val="Emphasis"/>
    <w:basedOn w:val="Policepardfaut"/>
    <w:uiPriority w:val="20"/>
    <w:qFormat/>
    <w:rsid w:val="003E7AA2"/>
    <w:rPr>
      <w:i/>
      <w:iCs/>
    </w:rPr>
  </w:style>
  <w:style w:type="character" w:customStyle="1" w:styleId="Titre3Car">
    <w:name w:val="Titre 3 Car"/>
    <w:basedOn w:val="Policepardfaut"/>
    <w:link w:val="Titre3"/>
    <w:uiPriority w:val="9"/>
    <w:semiHidden/>
    <w:rsid w:val="004D79E9"/>
    <w:rPr>
      <w:rFonts w:asciiTheme="majorHAnsi" w:eastAsiaTheme="majorEastAsia" w:hAnsiTheme="majorHAnsi" w:cstheme="majorBidi"/>
      <w:color w:val="1F4D78" w:themeColor="accent1" w:themeShade="7F"/>
      <w:sz w:val="24"/>
      <w:szCs w:val="24"/>
    </w:rPr>
  </w:style>
  <w:style w:type="character" w:customStyle="1" w:styleId="Mentionnonrsolue2">
    <w:name w:val="Mention non résolue2"/>
    <w:basedOn w:val="Policepardfaut"/>
    <w:uiPriority w:val="99"/>
    <w:semiHidden/>
    <w:unhideWhenUsed/>
    <w:rsid w:val="005279CA"/>
    <w:rPr>
      <w:color w:val="605E5C"/>
      <w:shd w:val="clear" w:color="auto" w:fill="E1DFDD"/>
    </w:rPr>
  </w:style>
  <w:style w:type="character" w:customStyle="1" w:styleId="UnresolvedMention">
    <w:name w:val="Unresolved Mention"/>
    <w:basedOn w:val="Policepardfaut"/>
    <w:uiPriority w:val="99"/>
    <w:semiHidden/>
    <w:unhideWhenUsed/>
    <w:rsid w:val="00C90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537411">
      <w:bodyDiv w:val="1"/>
      <w:marLeft w:val="0"/>
      <w:marRight w:val="0"/>
      <w:marTop w:val="0"/>
      <w:marBottom w:val="0"/>
      <w:divBdr>
        <w:top w:val="none" w:sz="0" w:space="0" w:color="auto"/>
        <w:left w:val="none" w:sz="0" w:space="0" w:color="auto"/>
        <w:bottom w:val="none" w:sz="0" w:space="0" w:color="auto"/>
        <w:right w:val="none" w:sz="0" w:space="0" w:color="auto"/>
      </w:divBdr>
    </w:div>
    <w:div w:id="950017229">
      <w:bodyDiv w:val="1"/>
      <w:marLeft w:val="0"/>
      <w:marRight w:val="0"/>
      <w:marTop w:val="0"/>
      <w:marBottom w:val="0"/>
      <w:divBdr>
        <w:top w:val="none" w:sz="0" w:space="0" w:color="auto"/>
        <w:left w:val="none" w:sz="0" w:space="0" w:color="auto"/>
        <w:bottom w:val="none" w:sz="0" w:space="0" w:color="auto"/>
        <w:right w:val="none" w:sz="0" w:space="0" w:color="auto"/>
      </w:divBdr>
      <w:divsChild>
        <w:div w:id="245845191">
          <w:marLeft w:val="0"/>
          <w:marRight w:val="0"/>
          <w:marTop w:val="0"/>
          <w:marBottom w:val="0"/>
          <w:divBdr>
            <w:top w:val="none" w:sz="0" w:space="0" w:color="auto"/>
            <w:left w:val="none" w:sz="0" w:space="0" w:color="auto"/>
            <w:bottom w:val="none" w:sz="0" w:space="0" w:color="auto"/>
            <w:right w:val="none" w:sz="0" w:space="0" w:color="auto"/>
          </w:divBdr>
        </w:div>
        <w:div w:id="318197483">
          <w:marLeft w:val="0"/>
          <w:marRight w:val="0"/>
          <w:marTop w:val="0"/>
          <w:marBottom w:val="0"/>
          <w:divBdr>
            <w:top w:val="none" w:sz="0" w:space="0" w:color="auto"/>
            <w:left w:val="none" w:sz="0" w:space="0" w:color="auto"/>
            <w:bottom w:val="none" w:sz="0" w:space="0" w:color="auto"/>
            <w:right w:val="none" w:sz="0" w:space="0" w:color="auto"/>
          </w:divBdr>
          <w:divsChild>
            <w:div w:id="734816841">
              <w:marLeft w:val="0"/>
              <w:marRight w:val="0"/>
              <w:marTop w:val="0"/>
              <w:marBottom w:val="0"/>
              <w:divBdr>
                <w:top w:val="none" w:sz="0" w:space="0" w:color="auto"/>
                <w:left w:val="none" w:sz="0" w:space="0" w:color="auto"/>
                <w:bottom w:val="none" w:sz="0" w:space="0" w:color="auto"/>
                <w:right w:val="none" w:sz="0" w:space="0" w:color="auto"/>
              </w:divBdr>
              <w:divsChild>
                <w:div w:id="822235923">
                  <w:marLeft w:val="0"/>
                  <w:marRight w:val="0"/>
                  <w:marTop w:val="0"/>
                  <w:marBottom w:val="0"/>
                  <w:divBdr>
                    <w:top w:val="none" w:sz="0" w:space="0" w:color="auto"/>
                    <w:left w:val="none" w:sz="0" w:space="0" w:color="auto"/>
                    <w:bottom w:val="none" w:sz="0" w:space="0" w:color="auto"/>
                    <w:right w:val="none" w:sz="0" w:space="0" w:color="auto"/>
                  </w:divBdr>
                  <w:divsChild>
                    <w:div w:id="1746611154">
                      <w:marLeft w:val="0"/>
                      <w:marRight w:val="0"/>
                      <w:marTop w:val="0"/>
                      <w:marBottom w:val="0"/>
                      <w:divBdr>
                        <w:top w:val="none" w:sz="0" w:space="0" w:color="auto"/>
                        <w:left w:val="none" w:sz="0" w:space="0" w:color="auto"/>
                        <w:bottom w:val="none" w:sz="0" w:space="0" w:color="auto"/>
                        <w:right w:val="none" w:sz="0" w:space="0" w:color="auto"/>
                      </w:divBdr>
                      <w:divsChild>
                        <w:div w:id="1993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73686">
      <w:bodyDiv w:val="1"/>
      <w:marLeft w:val="0"/>
      <w:marRight w:val="0"/>
      <w:marTop w:val="0"/>
      <w:marBottom w:val="0"/>
      <w:divBdr>
        <w:top w:val="none" w:sz="0" w:space="0" w:color="auto"/>
        <w:left w:val="none" w:sz="0" w:space="0" w:color="auto"/>
        <w:bottom w:val="none" w:sz="0" w:space="0" w:color="auto"/>
        <w:right w:val="none" w:sz="0" w:space="0" w:color="auto"/>
      </w:divBdr>
    </w:div>
    <w:div w:id="19244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iv-tours.fr/medias/fichier/deliberation-n-2018-93-approuvant-les-criteres-d-attribution-de-la-prime-d-encadrement-doctoral-et-de-recherche_1563195628003-pdf?ID_FICHE=14057&amp;INLINE=FAL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llegedoctoral-cvl.fr/as/ed/CDCVL/formations.pl?site=CDCV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2EA7-496E-4080-8116-89E31BA97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udet</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Matyjas</dc:creator>
  <cp:lastModifiedBy>Frederic Matyjas</cp:lastModifiedBy>
  <cp:revision>6</cp:revision>
  <cp:lastPrinted>2019-10-02T07:26:00Z</cp:lastPrinted>
  <dcterms:created xsi:type="dcterms:W3CDTF">2019-12-19T09:42:00Z</dcterms:created>
  <dcterms:modified xsi:type="dcterms:W3CDTF">2021-07-22T14:27:00Z</dcterms:modified>
</cp:coreProperties>
</file>