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26" w:rsidRDefault="000B7C26" w:rsidP="000B7C26">
      <w:pPr>
        <w:pBdr>
          <w:top w:val="single" w:sz="4" w:space="1" w:color="auto"/>
          <w:left w:val="single" w:sz="4" w:space="4" w:color="auto"/>
          <w:bottom w:val="single" w:sz="4" w:space="1" w:color="auto"/>
          <w:right w:val="single" w:sz="4" w:space="4" w:color="auto"/>
        </w:pBdr>
        <w:jc w:val="center"/>
        <w:rPr>
          <w:rFonts w:ascii="Work Sans" w:hAnsi="Work Sans"/>
          <w:b/>
          <w:sz w:val="28"/>
        </w:rPr>
      </w:pPr>
      <w:r>
        <w:rPr>
          <w:rFonts w:ascii="Work Sans" w:hAnsi="Work Sans"/>
          <w:b/>
          <w:sz w:val="28"/>
        </w:rPr>
        <w:t>HRS4R – Groupe de travail n° 2 : recrutement</w:t>
      </w:r>
    </w:p>
    <w:p w:rsidR="000B7C26" w:rsidRPr="00727565" w:rsidRDefault="000B7C26" w:rsidP="000B7C26">
      <w:pPr>
        <w:jc w:val="center"/>
        <w:rPr>
          <w:rFonts w:ascii="Work Sans" w:hAnsi="Work Sans"/>
          <w:i/>
          <w:sz w:val="16"/>
        </w:rPr>
      </w:pPr>
    </w:p>
    <w:p w:rsidR="000B7C26" w:rsidRPr="00DB53DA" w:rsidRDefault="000B7C26" w:rsidP="000B7C26">
      <w:pPr>
        <w:jc w:val="center"/>
        <w:rPr>
          <w:rFonts w:ascii="Work Sans" w:hAnsi="Work Sans"/>
          <w:sz w:val="28"/>
          <w:u w:val="single"/>
        </w:rPr>
      </w:pPr>
      <w:r w:rsidRPr="00DB53DA">
        <w:rPr>
          <w:rFonts w:ascii="Work Sans" w:hAnsi="Work Sans"/>
          <w:sz w:val="28"/>
          <w:u w:val="single"/>
        </w:rPr>
        <w:t xml:space="preserve">Compte-rendu de la réunion du </w:t>
      </w:r>
      <w:r>
        <w:rPr>
          <w:rFonts w:ascii="Work Sans" w:hAnsi="Work Sans"/>
          <w:sz w:val="28"/>
          <w:u w:val="single"/>
        </w:rPr>
        <w:t>21</w:t>
      </w:r>
      <w:r w:rsidRPr="00DB53DA">
        <w:rPr>
          <w:rFonts w:ascii="Work Sans" w:hAnsi="Work Sans"/>
          <w:sz w:val="28"/>
          <w:u w:val="single"/>
        </w:rPr>
        <w:t>/</w:t>
      </w:r>
      <w:r>
        <w:rPr>
          <w:rFonts w:ascii="Work Sans" w:hAnsi="Work Sans"/>
          <w:sz w:val="28"/>
          <w:u w:val="single"/>
        </w:rPr>
        <w:t>1</w:t>
      </w:r>
      <w:r w:rsidRPr="00DB53DA">
        <w:rPr>
          <w:rFonts w:ascii="Work Sans" w:hAnsi="Work Sans"/>
          <w:sz w:val="28"/>
          <w:u w:val="single"/>
        </w:rPr>
        <w:t>0/2019</w:t>
      </w:r>
    </w:p>
    <w:p w:rsidR="000B7C26" w:rsidRPr="008A37E1" w:rsidRDefault="000B7C26" w:rsidP="000B7C26">
      <w:pPr>
        <w:jc w:val="both"/>
        <w:rPr>
          <w:rFonts w:ascii="Work Sans" w:hAnsi="Work Sans"/>
          <w:i/>
          <w:sz w:val="20"/>
        </w:rPr>
      </w:pPr>
      <w:r w:rsidRPr="008A37E1">
        <w:rPr>
          <w:rFonts w:ascii="Work Sans" w:hAnsi="Work Sans"/>
          <w:i/>
          <w:sz w:val="20"/>
          <w:u w:val="single"/>
        </w:rPr>
        <w:t>Présents :</w:t>
      </w:r>
      <w:r w:rsidRPr="008A37E1">
        <w:rPr>
          <w:rFonts w:ascii="Work Sans" w:hAnsi="Work Sans"/>
          <w:i/>
          <w:sz w:val="20"/>
        </w:rPr>
        <w:t xml:space="preserve"> </w:t>
      </w:r>
      <w:r w:rsidRPr="00D878B3">
        <w:rPr>
          <w:rFonts w:ascii="Work Sans" w:hAnsi="Work Sans"/>
          <w:b/>
          <w:i/>
          <w:sz w:val="20"/>
        </w:rPr>
        <w:t>Corinne MANSON</w:t>
      </w:r>
      <w:r w:rsidRPr="008A37E1">
        <w:rPr>
          <w:rFonts w:ascii="Work Sans" w:hAnsi="Work Sans"/>
          <w:i/>
          <w:sz w:val="20"/>
        </w:rPr>
        <w:t>,</w:t>
      </w:r>
      <w:r w:rsidR="00D03256">
        <w:rPr>
          <w:rFonts w:ascii="Work Sans" w:hAnsi="Work Sans"/>
          <w:i/>
          <w:sz w:val="20"/>
        </w:rPr>
        <w:t xml:space="preserve"> Christian GARBAR</w:t>
      </w:r>
      <w:r>
        <w:rPr>
          <w:rFonts w:ascii="Work Sans" w:hAnsi="Work Sans"/>
          <w:i/>
          <w:sz w:val="20"/>
        </w:rPr>
        <w:t>,</w:t>
      </w:r>
      <w:r w:rsidR="00D03256">
        <w:rPr>
          <w:rFonts w:ascii="Work Sans" w:hAnsi="Work Sans"/>
          <w:i/>
          <w:sz w:val="20"/>
        </w:rPr>
        <w:t xml:space="preserve"> </w:t>
      </w:r>
      <w:r>
        <w:rPr>
          <w:rFonts w:ascii="Work Sans" w:hAnsi="Work Sans"/>
          <w:i/>
          <w:sz w:val="20"/>
        </w:rPr>
        <w:t>Thierry MOREAU,</w:t>
      </w:r>
      <w:r w:rsidR="00D03256" w:rsidRPr="00D03256">
        <w:rPr>
          <w:rFonts w:ascii="Work Sans" w:hAnsi="Work Sans"/>
          <w:i/>
          <w:sz w:val="20"/>
        </w:rPr>
        <w:t xml:space="preserve"> </w:t>
      </w:r>
      <w:r w:rsidR="00D03256">
        <w:rPr>
          <w:rFonts w:ascii="Work Sans" w:hAnsi="Work Sans"/>
          <w:i/>
          <w:sz w:val="20"/>
        </w:rPr>
        <w:t>Oriane MOUSSET,</w:t>
      </w:r>
      <w:r>
        <w:rPr>
          <w:rFonts w:ascii="Work Sans" w:hAnsi="Work Sans"/>
          <w:i/>
          <w:sz w:val="20"/>
        </w:rPr>
        <w:t xml:space="preserve"> François TRAN-VAN,</w:t>
      </w:r>
      <w:r w:rsidR="00D03256" w:rsidRPr="008A37E1">
        <w:rPr>
          <w:rFonts w:ascii="Work Sans" w:hAnsi="Work Sans"/>
          <w:i/>
          <w:sz w:val="20"/>
        </w:rPr>
        <w:t xml:space="preserve"> Manuelle </w:t>
      </w:r>
      <w:r w:rsidR="00D03256" w:rsidRPr="00EF15D1">
        <w:rPr>
          <w:rFonts w:ascii="Work Sans" w:hAnsi="Work Sans"/>
          <w:i/>
          <w:sz w:val="20"/>
        </w:rPr>
        <w:t>RUILIER</w:t>
      </w:r>
      <w:r w:rsidR="00D03256">
        <w:rPr>
          <w:rFonts w:ascii="Work Sans" w:hAnsi="Work Sans"/>
          <w:i/>
          <w:sz w:val="20"/>
        </w:rPr>
        <w:t>,</w:t>
      </w:r>
      <w:r>
        <w:rPr>
          <w:rFonts w:ascii="Work Sans" w:hAnsi="Work Sans"/>
          <w:i/>
          <w:sz w:val="20"/>
        </w:rPr>
        <w:t xml:space="preserve"> Valérie PENNEQUIN</w:t>
      </w:r>
    </w:p>
    <w:p w:rsidR="000B7C26" w:rsidRDefault="000B7C26" w:rsidP="000B7C26">
      <w:pPr>
        <w:jc w:val="both"/>
        <w:rPr>
          <w:rFonts w:ascii="Work Sans" w:hAnsi="Work Sans"/>
          <w:i/>
          <w:sz w:val="20"/>
        </w:rPr>
      </w:pPr>
      <w:r w:rsidRPr="008A37E1">
        <w:rPr>
          <w:rFonts w:ascii="Work Sans" w:hAnsi="Work Sans"/>
          <w:i/>
          <w:sz w:val="20"/>
          <w:u w:val="single"/>
        </w:rPr>
        <w:t>Excusés :</w:t>
      </w:r>
      <w:r w:rsidRPr="000B7C26">
        <w:rPr>
          <w:rFonts w:ascii="Work Sans" w:hAnsi="Work Sans"/>
          <w:i/>
          <w:sz w:val="20"/>
        </w:rPr>
        <w:t xml:space="preserve"> </w:t>
      </w:r>
      <w:r>
        <w:rPr>
          <w:rFonts w:ascii="Work Sans" w:hAnsi="Work Sans"/>
          <w:i/>
          <w:sz w:val="20"/>
        </w:rPr>
        <w:t>Karine ABDEREMANE, Lucie BRISSON,</w:t>
      </w:r>
      <w:r w:rsidRPr="000B7C26">
        <w:rPr>
          <w:rFonts w:ascii="Work Sans" w:hAnsi="Work Sans"/>
          <w:i/>
          <w:sz w:val="20"/>
        </w:rPr>
        <w:t xml:space="preserve"> </w:t>
      </w:r>
      <w:r>
        <w:rPr>
          <w:rFonts w:ascii="Work Sans" w:hAnsi="Work Sans"/>
          <w:i/>
          <w:sz w:val="20"/>
        </w:rPr>
        <w:t>Alexis Chommeloux,</w:t>
      </w:r>
      <w:r w:rsidR="00D03256">
        <w:rPr>
          <w:rFonts w:ascii="Work Sans" w:hAnsi="Work Sans"/>
          <w:i/>
          <w:sz w:val="20"/>
        </w:rPr>
        <w:t xml:space="preserve"> </w:t>
      </w:r>
      <w:r>
        <w:rPr>
          <w:rFonts w:ascii="Work Sans" w:hAnsi="Work Sans"/>
          <w:i/>
          <w:sz w:val="20"/>
        </w:rPr>
        <w:t xml:space="preserve">Isabelle GUILLOUET, </w:t>
      </w:r>
      <w:r w:rsidR="00D03256">
        <w:rPr>
          <w:rFonts w:ascii="Work Sans" w:hAnsi="Work Sans"/>
          <w:i/>
          <w:sz w:val="20"/>
        </w:rPr>
        <w:t xml:space="preserve">Emmanuel NERON, </w:t>
      </w:r>
      <w:r>
        <w:rPr>
          <w:rFonts w:ascii="Work Sans" w:hAnsi="Work Sans"/>
          <w:i/>
          <w:sz w:val="20"/>
        </w:rPr>
        <w:t>Yves RAINGEAUD</w:t>
      </w:r>
      <w:r w:rsidR="00D03256">
        <w:rPr>
          <w:rFonts w:ascii="Work Sans" w:hAnsi="Work Sans"/>
          <w:i/>
          <w:sz w:val="20"/>
        </w:rPr>
        <w:t>, Isabelle VIRLOGEUX-PAYANT</w:t>
      </w:r>
    </w:p>
    <w:p w:rsidR="000B7C26" w:rsidRDefault="000B7C26" w:rsidP="000B7C26">
      <w:pPr>
        <w:jc w:val="both"/>
        <w:rPr>
          <w:rFonts w:ascii="Work Sans" w:hAnsi="Work Sans"/>
          <w:i/>
          <w:sz w:val="20"/>
        </w:rPr>
      </w:pPr>
    </w:p>
    <w:p w:rsidR="000B7C26" w:rsidRPr="000B7C26" w:rsidRDefault="000B7C26" w:rsidP="000B7C26">
      <w:pPr>
        <w:pStyle w:val="Paragraphedeliste"/>
        <w:numPr>
          <w:ilvl w:val="0"/>
          <w:numId w:val="3"/>
        </w:numPr>
        <w:jc w:val="both"/>
        <w:rPr>
          <w:rFonts w:ascii="Work Sans" w:hAnsi="Work Sans"/>
          <w:i/>
          <w:sz w:val="20"/>
          <w:szCs w:val="20"/>
        </w:rPr>
      </w:pPr>
      <w:r w:rsidRPr="000B7C26">
        <w:rPr>
          <w:rFonts w:ascii="Work Sans" w:hAnsi="Work Sans"/>
          <w:sz w:val="24"/>
          <w:szCs w:val="20"/>
        </w:rPr>
        <w:t>Distribution en séance du support de travail qui avait été présenté et proposé lors de la première séance. La 2</w:t>
      </w:r>
      <w:r w:rsidRPr="000B7C26">
        <w:rPr>
          <w:rFonts w:ascii="Work Sans" w:hAnsi="Work Sans"/>
          <w:sz w:val="24"/>
          <w:szCs w:val="20"/>
          <w:vertAlign w:val="superscript"/>
        </w:rPr>
        <w:t>ème</w:t>
      </w:r>
      <w:r w:rsidRPr="000B7C26">
        <w:rPr>
          <w:rFonts w:ascii="Work Sans" w:hAnsi="Work Sans"/>
          <w:sz w:val="24"/>
          <w:szCs w:val="20"/>
        </w:rPr>
        <w:t xml:space="preserve"> colonne, correspondant à l’analyse et au comparatif des pratiques à l'UT, avec écart éventuel à relever</w:t>
      </w:r>
      <w:r w:rsidR="00431770">
        <w:rPr>
          <w:rFonts w:ascii="Work Sans" w:hAnsi="Work Sans"/>
          <w:sz w:val="24"/>
          <w:szCs w:val="20"/>
        </w:rPr>
        <w:t xml:space="preserve"> et la </w:t>
      </w:r>
      <w:r w:rsidR="00431770" w:rsidRPr="00080541">
        <w:rPr>
          <w:rFonts w:ascii="Work Sans" w:hAnsi="Work Sans"/>
          <w:sz w:val="24"/>
          <w:szCs w:val="20"/>
        </w:rPr>
        <w:t>3</w:t>
      </w:r>
      <w:r w:rsidR="00431770" w:rsidRPr="00080541">
        <w:rPr>
          <w:rFonts w:ascii="Work Sans" w:hAnsi="Work Sans"/>
          <w:sz w:val="24"/>
          <w:szCs w:val="20"/>
          <w:vertAlign w:val="superscript"/>
        </w:rPr>
        <w:t>ème</w:t>
      </w:r>
      <w:r w:rsidR="00431770">
        <w:rPr>
          <w:rFonts w:ascii="Work Sans" w:hAnsi="Work Sans"/>
          <w:sz w:val="24"/>
          <w:szCs w:val="20"/>
        </w:rPr>
        <w:t xml:space="preserve"> </w:t>
      </w:r>
      <w:r w:rsidR="00431770" w:rsidRPr="00080541">
        <w:rPr>
          <w:rFonts w:ascii="Work Sans" w:hAnsi="Work Sans"/>
          <w:sz w:val="24"/>
          <w:szCs w:val="20"/>
        </w:rPr>
        <w:t xml:space="preserve">colonne </w:t>
      </w:r>
      <w:r w:rsidR="00431770">
        <w:rPr>
          <w:rFonts w:ascii="Work Sans" w:hAnsi="Work Sans"/>
          <w:sz w:val="24"/>
          <w:szCs w:val="20"/>
        </w:rPr>
        <w:t>(</w:t>
      </w:r>
      <w:r w:rsidR="00431770" w:rsidRPr="00080541">
        <w:rPr>
          <w:rFonts w:ascii="Work Sans" w:hAnsi="Work Sans"/>
          <w:sz w:val="24"/>
          <w:szCs w:val="20"/>
        </w:rPr>
        <w:t>si écart relevé précédemment, propositions et idées d'actions correctives</w:t>
      </w:r>
      <w:r w:rsidR="00431770">
        <w:rPr>
          <w:rFonts w:ascii="Work Sans" w:hAnsi="Work Sans"/>
          <w:sz w:val="24"/>
          <w:szCs w:val="20"/>
        </w:rPr>
        <w:t>)</w:t>
      </w:r>
      <w:r>
        <w:rPr>
          <w:rFonts w:ascii="Work Sans" w:hAnsi="Work Sans"/>
          <w:sz w:val="24"/>
          <w:szCs w:val="20"/>
        </w:rPr>
        <w:t xml:space="preserve"> </w:t>
      </w:r>
      <w:r w:rsidR="00431770">
        <w:rPr>
          <w:rFonts w:ascii="Work Sans" w:hAnsi="Work Sans"/>
          <w:sz w:val="24"/>
          <w:szCs w:val="20"/>
        </w:rPr>
        <w:t>ont</w:t>
      </w:r>
      <w:r>
        <w:rPr>
          <w:rFonts w:ascii="Work Sans" w:hAnsi="Work Sans"/>
          <w:sz w:val="24"/>
          <w:szCs w:val="20"/>
        </w:rPr>
        <w:t xml:space="preserve"> été remplie</w:t>
      </w:r>
      <w:r w:rsidR="00D03256">
        <w:rPr>
          <w:rFonts w:ascii="Work Sans" w:hAnsi="Work Sans"/>
          <w:sz w:val="24"/>
          <w:szCs w:val="20"/>
        </w:rPr>
        <w:t>s</w:t>
      </w:r>
      <w:r>
        <w:rPr>
          <w:rFonts w:ascii="Work Sans" w:hAnsi="Work Sans"/>
          <w:sz w:val="24"/>
          <w:szCs w:val="20"/>
        </w:rPr>
        <w:t xml:space="preserve"> suite à la première réunion pour les items 12 à 14 inclus.  </w:t>
      </w:r>
    </w:p>
    <w:p w:rsidR="000B7C26" w:rsidRPr="000B7C26" w:rsidRDefault="000B7C26" w:rsidP="000B7C26">
      <w:pPr>
        <w:ind w:left="720"/>
        <w:jc w:val="both"/>
        <w:rPr>
          <w:rFonts w:ascii="Work Sans" w:hAnsi="Work Sans"/>
          <w:i/>
          <w:sz w:val="20"/>
          <w:szCs w:val="20"/>
        </w:rPr>
      </w:pPr>
    </w:p>
    <w:p w:rsidR="000B7C26" w:rsidRDefault="000B7C26" w:rsidP="000B7C26">
      <w:pPr>
        <w:pStyle w:val="Paragraphedeliste"/>
        <w:numPr>
          <w:ilvl w:val="0"/>
          <w:numId w:val="3"/>
        </w:numPr>
        <w:jc w:val="both"/>
        <w:rPr>
          <w:rFonts w:ascii="Work Sans" w:hAnsi="Work Sans"/>
          <w:sz w:val="24"/>
          <w:szCs w:val="20"/>
        </w:rPr>
      </w:pPr>
      <w:r w:rsidRPr="000B7C26">
        <w:rPr>
          <w:rFonts w:ascii="Work Sans" w:hAnsi="Work Sans"/>
          <w:sz w:val="24"/>
          <w:szCs w:val="20"/>
        </w:rPr>
        <w:t xml:space="preserve">Examen des </w:t>
      </w:r>
      <w:r>
        <w:rPr>
          <w:rFonts w:ascii="Work Sans" w:hAnsi="Work Sans"/>
          <w:sz w:val="24"/>
          <w:szCs w:val="20"/>
        </w:rPr>
        <w:t>p</w:t>
      </w:r>
      <w:r w:rsidRPr="000B7C26">
        <w:rPr>
          <w:rFonts w:ascii="Work Sans" w:hAnsi="Work Sans"/>
          <w:sz w:val="24"/>
          <w:szCs w:val="20"/>
        </w:rPr>
        <w:t>ratiques existantes à l’UT et constats</w:t>
      </w:r>
      <w:r w:rsidR="00431770">
        <w:rPr>
          <w:rFonts w:ascii="Work Sans" w:hAnsi="Work Sans"/>
          <w:sz w:val="24"/>
          <w:szCs w:val="20"/>
        </w:rPr>
        <w:t xml:space="preserve"> (2</w:t>
      </w:r>
      <w:r w:rsidR="00431770" w:rsidRPr="00431770">
        <w:rPr>
          <w:rFonts w:ascii="Work Sans" w:hAnsi="Work Sans"/>
          <w:sz w:val="24"/>
          <w:szCs w:val="20"/>
          <w:vertAlign w:val="superscript"/>
        </w:rPr>
        <w:t>éme</w:t>
      </w:r>
      <w:r w:rsidR="00431770">
        <w:rPr>
          <w:rFonts w:ascii="Work Sans" w:hAnsi="Work Sans"/>
          <w:sz w:val="24"/>
          <w:szCs w:val="20"/>
        </w:rPr>
        <w:t xml:space="preserve"> et 3</w:t>
      </w:r>
      <w:r w:rsidR="00431770" w:rsidRPr="00431770">
        <w:rPr>
          <w:rFonts w:ascii="Work Sans" w:hAnsi="Work Sans"/>
          <w:sz w:val="24"/>
          <w:szCs w:val="20"/>
          <w:vertAlign w:val="superscript"/>
        </w:rPr>
        <w:t>éme</w:t>
      </w:r>
      <w:r w:rsidR="00431770">
        <w:rPr>
          <w:rFonts w:ascii="Work Sans" w:hAnsi="Work Sans"/>
          <w:sz w:val="24"/>
          <w:szCs w:val="20"/>
        </w:rPr>
        <w:t xml:space="preserve"> colonnes) ont été examinés</w:t>
      </w:r>
      <w:r w:rsidRPr="000B7C26">
        <w:rPr>
          <w:rFonts w:ascii="Work Sans" w:hAnsi="Work Sans"/>
          <w:sz w:val="24"/>
          <w:szCs w:val="20"/>
        </w:rPr>
        <w:t xml:space="preserve"> </w:t>
      </w:r>
      <w:r>
        <w:rPr>
          <w:rFonts w:ascii="Work Sans" w:hAnsi="Work Sans"/>
          <w:sz w:val="24"/>
          <w:szCs w:val="20"/>
        </w:rPr>
        <w:t xml:space="preserve">pour les items 15 </w:t>
      </w:r>
      <w:r w:rsidR="00431770">
        <w:rPr>
          <w:rFonts w:ascii="Work Sans" w:hAnsi="Work Sans"/>
          <w:sz w:val="24"/>
          <w:szCs w:val="20"/>
        </w:rPr>
        <w:t>à 21 inclus.</w:t>
      </w:r>
    </w:p>
    <w:p w:rsidR="00431770" w:rsidRPr="00431770" w:rsidRDefault="00431770" w:rsidP="00431770">
      <w:pPr>
        <w:pStyle w:val="Paragraphedeliste"/>
        <w:rPr>
          <w:rFonts w:ascii="Work Sans" w:hAnsi="Work Sans"/>
          <w:sz w:val="24"/>
          <w:szCs w:val="20"/>
        </w:rPr>
      </w:pPr>
    </w:p>
    <w:p w:rsidR="00D03256" w:rsidRPr="006F1B67" w:rsidRDefault="00431770" w:rsidP="00431770">
      <w:pPr>
        <w:pStyle w:val="Paragraphedeliste"/>
        <w:numPr>
          <w:ilvl w:val="0"/>
          <w:numId w:val="6"/>
        </w:numPr>
        <w:rPr>
          <w:rFonts w:ascii="Work Sans" w:hAnsi="Work Sans"/>
          <w:b/>
          <w:sz w:val="24"/>
          <w:szCs w:val="20"/>
          <w:u w:val="single"/>
        </w:rPr>
      </w:pPr>
      <w:r w:rsidRPr="006F1B67">
        <w:rPr>
          <w:rFonts w:ascii="Work Sans" w:hAnsi="Work Sans"/>
          <w:b/>
          <w:sz w:val="24"/>
          <w:szCs w:val="20"/>
          <w:u w:val="single"/>
        </w:rPr>
        <w:t>Item 15 :</w:t>
      </w:r>
    </w:p>
    <w:p w:rsidR="00F7071C" w:rsidRPr="00075B3A" w:rsidRDefault="00D03256" w:rsidP="00D03256">
      <w:pPr>
        <w:rPr>
          <w:rFonts w:ascii="Work Sans" w:hAnsi="Work Sans"/>
          <w:sz w:val="24"/>
          <w:szCs w:val="20"/>
        </w:rPr>
      </w:pPr>
      <w:r w:rsidRPr="00075B3A">
        <w:rPr>
          <w:rFonts w:ascii="Work Sans" w:hAnsi="Work Sans"/>
          <w:sz w:val="24"/>
          <w:szCs w:val="20"/>
        </w:rPr>
        <w:t>D</w:t>
      </w:r>
      <w:r w:rsidR="00F7071C" w:rsidRPr="00075B3A">
        <w:rPr>
          <w:rFonts w:ascii="Work Sans" w:hAnsi="Work Sans"/>
          <w:sz w:val="24"/>
          <w:szCs w:val="20"/>
        </w:rPr>
        <w:t xml:space="preserve">istinction de 3 catégories : titulaires, contractuels, doctorants. </w:t>
      </w:r>
    </w:p>
    <w:p w:rsidR="00D03256" w:rsidRPr="00075B3A" w:rsidRDefault="00F7071C" w:rsidP="00D03256">
      <w:pPr>
        <w:jc w:val="both"/>
        <w:rPr>
          <w:rFonts w:ascii="Work Sans" w:hAnsi="Work Sans"/>
          <w:sz w:val="24"/>
          <w:szCs w:val="20"/>
        </w:rPr>
      </w:pPr>
      <w:r w:rsidRPr="00075B3A">
        <w:rPr>
          <w:rFonts w:ascii="Work Sans" w:hAnsi="Work Sans"/>
          <w:sz w:val="24"/>
          <w:szCs w:val="20"/>
        </w:rPr>
        <w:t>Pour les titulaires, des fiches de postes sont systématiquement rédigées mais le constat est fait d’une absence de retour sur les points faibles et les points faibles des candidatures ; il est cependant souligné que dans le cadre d’un jury de concours la législation française considère que le jury de concours est souverain mais qu’une justification des choix pourrait être envisagée. Il est aussi proposé de compléter la fiche de poste pour ajouter les compétences attendues des candidats (au-delà du profil indiqué).</w:t>
      </w:r>
    </w:p>
    <w:p w:rsidR="00F7071C" w:rsidRPr="00075B3A" w:rsidRDefault="00F7071C" w:rsidP="00D03256">
      <w:pPr>
        <w:jc w:val="both"/>
        <w:rPr>
          <w:rFonts w:ascii="Work Sans" w:hAnsi="Work Sans"/>
          <w:sz w:val="24"/>
          <w:szCs w:val="20"/>
        </w:rPr>
      </w:pPr>
      <w:r w:rsidRPr="00075B3A">
        <w:rPr>
          <w:rFonts w:ascii="Work Sans" w:hAnsi="Work Sans"/>
          <w:sz w:val="24"/>
          <w:szCs w:val="20"/>
        </w:rPr>
        <w:t>Pour les doctorants contractuels, une harmonisation des pratiques pourrait être envisagée au niveau de l’université (audition…).</w:t>
      </w:r>
    </w:p>
    <w:p w:rsidR="00F7071C" w:rsidRPr="00075B3A" w:rsidRDefault="00F7071C" w:rsidP="00D03256">
      <w:pPr>
        <w:jc w:val="both"/>
        <w:rPr>
          <w:rFonts w:ascii="Work Sans" w:hAnsi="Work Sans"/>
          <w:sz w:val="24"/>
          <w:szCs w:val="20"/>
        </w:rPr>
      </w:pPr>
      <w:r w:rsidRPr="00075B3A">
        <w:rPr>
          <w:rFonts w:ascii="Work Sans" w:hAnsi="Work Sans"/>
          <w:sz w:val="24"/>
          <w:szCs w:val="20"/>
        </w:rPr>
        <w:t>Pour les contractuels sur projets de recherche (post-docs) le constat est fait de l’absence fréquente de publicité pour le recrutement. Il est proposé de publier des fiches de postes sur un site internet.</w:t>
      </w:r>
    </w:p>
    <w:p w:rsidR="00F7071C" w:rsidRPr="00075B3A" w:rsidRDefault="00F7071C" w:rsidP="00D03256">
      <w:pPr>
        <w:jc w:val="both"/>
        <w:rPr>
          <w:rFonts w:ascii="Work Sans" w:hAnsi="Work Sans"/>
          <w:sz w:val="24"/>
          <w:szCs w:val="20"/>
        </w:rPr>
      </w:pPr>
      <w:r w:rsidRPr="00075B3A">
        <w:rPr>
          <w:rFonts w:ascii="Work Sans" w:hAnsi="Work Sans"/>
          <w:sz w:val="24"/>
          <w:szCs w:val="20"/>
        </w:rPr>
        <w:t>Pour les E/C étrangers (ou qui ont obtenu leur diplôme à l’étranger) et pour lesquels est prévue par les textes une absence de qualification, il est proposé la mise en place d’un</w:t>
      </w:r>
      <w:r w:rsidR="006F1B67" w:rsidRPr="00075B3A">
        <w:rPr>
          <w:rFonts w:ascii="Work Sans" w:hAnsi="Work Sans"/>
          <w:sz w:val="24"/>
          <w:szCs w:val="20"/>
        </w:rPr>
        <w:t>e</w:t>
      </w:r>
      <w:r w:rsidRPr="00075B3A">
        <w:rPr>
          <w:rFonts w:ascii="Work Sans" w:hAnsi="Work Sans"/>
          <w:sz w:val="24"/>
          <w:szCs w:val="20"/>
        </w:rPr>
        <w:t xml:space="preserve"> procédure pour que 2 experts désignés par le VP recherche puissent étudier leur dossier et faire un rapport de présentation des candidatures.</w:t>
      </w:r>
    </w:p>
    <w:p w:rsidR="00D03256" w:rsidRPr="00075B3A" w:rsidRDefault="00F7071C" w:rsidP="00F7071C">
      <w:pPr>
        <w:pStyle w:val="Paragraphedeliste"/>
        <w:numPr>
          <w:ilvl w:val="0"/>
          <w:numId w:val="6"/>
        </w:numPr>
        <w:jc w:val="both"/>
        <w:rPr>
          <w:rFonts w:ascii="Work Sans" w:hAnsi="Work Sans"/>
          <w:b/>
          <w:sz w:val="24"/>
          <w:szCs w:val="20"/>
          <w:u w:val="single"/>
        </w:rPr>
      </w:pPr>
      <w:r w:rsidRPr="00075B3A">
        <w:rPr>
          <w:rFonts w:ascii="Work Sans" w:hAnsi="Work Sans"/>
          <w:b/>
          <w:sz w:val="24"/>
          <w:szCs w:val="20"/>
          <w:u w:val="single"/>
        </w:rPr>
        <w:t>Item 16</w:t>
      </w:r>
      <w:r w:rsidR="006F1B67" w:rsidRPr="00075B3A">
        <w:rPr>
          <w:rFonts w:ascii="Work Sans" w:hAnsi="Work Sans"/>
          <w:b/>
          <w:sz w:val="24"/>
          <w:szCs w:val="20"/>
          <w:u w:val="single"/>
        </w:rPr>
        <w:t> :</w:t>
      </w:r>
      <w:r w:rsidRPr="00075B3A">
        <w:rPr>
          <w:rFonts w:ascii="Work Sans" w:hAnsi="Work Sans"/>
          <w:b/>
          <w:sz w:val="24"/>
          <w:szCs w:val="20"/>
          <w:u w:val="single"/>
        </w:rPr>
        <w:t xml:space="preserve"> </w:t>
      </w:r>
    </w:p>
    <w:p w:rsidR="00F7071C" w:rsidRPr="00075B3A" w:rsidRDefault="00D03256" w:rsidP="00D03256">
      <w:pPr>
        <w:jc w:val="both"/>
        <w:rPr>
          <w:rFonts w:ascii="Work Sans" w:hAnsi="Work Sans"/>
          <w:sz w:val="24"/>
          <w:szCs w:val="20"/>
        </w:rPr>
      </w:pPr>
      <w:r w:rsidRPr="00075B3A">
        <w:rPr>
          <w:rFonts w:ascii="Work Sans" w:hAnsi="Work Sans"/>
          <w:sz w:val="24"/>
          <w:szCs w:val="20"/>
        </w:rPr>
        <w:t>A</w:t>
      </w:r>
      <w:r w:rsidR="00F7071C" w:rsidRPr="00075B3A">
        <w:rPr>
          <w:rFonts w:ascii="Work Sans" w:hAnsi="Work Sans"/>
          <w:sz w:val="24"/>
          <w:szCs w:val="20"/>
        </w:rPr>
        <w:t>ucune remarque particulière</w:t>
      </w:r>
      <w:r w:rsidR="00F52659" w:rsidRPr="00075B3A">
        <w:rPr>
          <w:rFonts w:ascii="Work Sans" w:hAnsi="Work Sans"/>
          <w:sz w:val="24"/>
          <w:szCs w:val="20"/>
        </w:rPr>
        <w:t>. Le GT souligne que les jurys de sélection prennent en compte l’expérience des candidats.</w:t>
      </w:r>
    </w:p>
    <w:p w:rsidR="00F52659" w:rsidRPr="00075B3A" w:rsidRDefault="00F52659" w:rsidP="00F52659">
      <w:pPr>
        <w:pStyle w:val="Paragraphedeliste"/>
        <w:ind w:left="1080"/>
        <w:jc w:val="both"/>
        <w:rPr>
          <w:rFonts w:ascii="Work Sans" w:hAnsi="Work Sans"/>
          <w:sz w:val="24"/>
          <w:szCs w:val="20"/>
        </w:rPr>
      </w:pPr>
    </w:p>
    <w:p w:rsidR="00D03256" w:rsidRPr="00075B3A" w:rsidRDefault="006F1B67" w:rsidP="00D03256">
      <w:pPr>
        <w:pStyle w:val="Paragraphedeliste"/>
        <w:numPr>
          <w:ilvl w:val="0"/>
          <w:numId w:val="6"/>
        </w:numPr>
        <w:jc w:val="both"/>
        <w:rPr>
          <w:rFonts w:ascii="Work Sans" w:hAnsi="Work Sans"/>
          <w:b/>
          <w:sz w:val="24"/>
          <w:szCs w:val="20"/>
          <w:u w:val="single"/>
        </w:rPr>
      </w:pPr>
      <w:r w:rsidRPr="00075B3A">
        <w:rPr>
          <w:rFonts w:ascii="Work Sans" w:hAnsi="Work Sans"/>
          <w:b/>
          <w:sz w:val="24"/>
          <w:szCs w:val="20"/>
          <w:u w:val="single"/>
        </w:rPr>
        <w:t>Item 17 :</w:t>
      </w:r>
    </w:p>
    <w:p w:rsidR="00F52659" w:rsidRPr="00075B3A" w:rsidRDefault="00F52659" w:rsidP="00D03256">
      <w:pPr>
        <w:jc w:val="both"/>
        <w:rPr>
          <w:rFonts w:ascii="Work Sans" w:hAnsi="Work Sans"/>
          <w:sz w:val="24"/>
          <w:szCs w:val="20"/>
        </w:rPr>
      </w:pPr>
      <w:r w:rsidRPr="00075B3A">
        <w:rPr>
          <w:rFonts w:ascii="Work Sans" w:hAnsi="Work Sans"/>
          <w:sz w:val="24"/>
          <w:szCs w:val="20"/>
        </w:rPr>
        <w:t>Le GT propose que soit institué un mentoring pour aider les candidats à rédiger leur CV. Cette aide peut exister mais elle n’est pas institutionnalisée et certains candidats peuvent ne pas bénéficier d’une aide pour rédiger leur CV et savoir expliquer leurs interruptions éventuelles dans leur carrière.</w:t>
      </w:r>
    </w:p>
    <w:p w:rsidR="00F52659" w:rsidRPr="00075B3A" w:rsidRDefault="00F52659" w:rsidP="00F52659">
      <w:pPr>
        <w:pStyle w:val="Paragraphedeliste"/>
        <w:rPr>
          <w:rFonts w:ascii="Work Sans" w:hAnsi="Work Sans"/>
          <w:sz w:val="24"/>
          <w:szCs w:val="20"/>
        </w:rPr>
      </w:pPr>
    </w:p>
    <w:p w:rsidR="00D03256" w:rsidRPr="00075B3A" w:rsidRDefault="006F1B67" w:rsidP="00F52659">
      <w:pPr>
        <w:pStyle w:val="Paragraphedeliste"/>
        <w:numPr>
          <w:ilvl w:val="0"/>
          <w:numId w:val="6"/>
        </w:numPr>
        <w:jc w:val="both"/>
        <w:rPr>
          <w:rFonts w:ascii="Work Sans" w:hAnsi="Work Sans"/>
          <w:b/>
          <w:sz w:val="24"/>
          <w:szCs w:val="20"/>
          <w:u w:val="single"/>
        </w:rPr>
      </w:pPr>
      <w:r w:rsidRPr="00075B3A">
        <w:rPr>
          <w:rFonts w:ascii="Work Sans" w:hAnsi="Work Sans"/>
          <w:b/>
          <w:sz w:val="24"/>
          <w:szCs w:val="20"/>
          <w:u w:val="single"/>
        </w:rPr>
        <w:t>Item 18 :</w:t>
      </w:r>
    </w:p>
    <w:p w:rsidR="00F52659" w:rsidRPr="00075B3A" w:rsidRDefault="00D03256" w:rsidP="00D03256">
      <w:pPr>
        <w:jc w:val="both"/>
        <w:rPr>
          <w:rFonts w:ascii="Work Sans" w:hAnsi="Work Sans"/>
          <w:sz w:val="24"/>
          <w:szCs w:val="20"/>
        </w:rPr>
      </w:pPr>
      <w:r w:rsidRPr="00075B3A">
        <w:rPr>
          <w:rFonts w:ascii="Work Sans" w:hAnsi="Work Sans"/>
          <w:sz w:val="24"/>
          <w:szCs w:val="20"/>
        </w:rPr>
        <w:t>A</w:t>
      </w:r>
      <w:r w:rsidR="00F52659" w:rsidRPr="00075B3A">
        <w:rPr>
          <w:rFonts w:ascii="Work Sans" w:hAnsi="Work Sans"/>
          <w:sz w:val="24"/>
          <w:szCs w:val="20"/>
        </w:rPr>
        <w:t>ucune remarque particulière ni proposition. Le GT indique qu’une bonification de la mobilité existe actuellement.</w:t>
      </w:r>
    </w:p>
    <w:p w:rsidR="00F52659" w:rsidRPr="00075B3A" w:rsidRDefault="00F52659" w:rsidP="00F52659">
      <w:pPr>
        <w:pStyle w:val="Paragraphedeliste"/>
        <w:rPr>
          <w:rFonts w:ascii="Work Sans" w:hAnsi="Work Sans"/>
          <w:sz w:val="24"/>
          <w:szCs w:val="20"/>
        </w:rPr>
      </w:pPr>
    </w:p>
    <w:p w:rsidR="00F52659" w:rsidRPr="00075B3A" w:rsidRDefault="00F52659" w:rsidP="00F52659">
      <w:pPr>
        <w:pStyle w:val="Paragraphedeliste"/>
        <w:numPr>
          <w:ilvl w:val="0"/>
          <w:numId w:val="6"/>
        </w:numPr>
        <w:jc w:val="both"/>
        <w:rPr>
          <w:rFonts w:ascii="Work Sans" w:hAnsi="Work Sans"/>
          <w:b/>
          <w:sz w:val="24"/>
          <w:szCs w:val="20"/>
          <w:u w:val="single"/>
        </w:rPr>
      </w:pPr>
      <w:r w:rsidRPr="00075B3A">
        <w:rPr>
          <w:rFonts w:ascii="Work Sans" w:hAnsi="Work Sans"/>
          <w:b/>
          <w:sz w:val="24"/>
          <w:szCs w:val="20"/>
          <w:u w:val="single"/>
        </w:rPr>
        <w:t>Item 19</w:t>
      </w:r>
      <w:r w:rsidR="006F1B67" w:rsidRPr="00075B3A">
        <w:rPr>
          <w:rFonts w:ascii="Work Sans" w:hAnsi="Work Sans"/>
          <w:b/>
          <w:sz w:val="24"/>
          <w:szCs w:val="20"/>
          <w:u w:val="single"/>
        </w:rPr>
        <w:t> :</w:t>
      </w:r>
    </w:p>
    <w:p w:rsidR="00F52659" w:rsidRPr="00075B3A" w:rsidRDefault="00F52659" w:rsidP="00F52659">
      <w:pPr>
        <w:jc w:val="both"/>
        <w:rPr>
          <w:rFonts w:ascii="Work Sans" w:hAnsi="Work Sans"/>
          <w:sz w:val="24"/>
          <w:szCs w:val="20"/>
        </w:rPr>
      </w:pPr>
      <w:r w:rsidRPr="00075B3A">
        <w:rPr>
          <w:rFonts w:ascii="Work Sans" w:hAnsi="Work Sans"/>
          <w:sz w:val="24"/>
          <w:szCs w:val="20"/>
        </w:rPr>
        <w:t>Le GT indique que le recrutement des titulaires les comités de sélection appliquent le droit en vigueur qui prévoit une qualification par le CNU. Pour les contractuels, le GT propose des entretiens systématiques qui permettent d’évaluer les qualifications des candidats.</w:t>
      </w:r>
    </w:p>
    <w:p w:rsidR="00D03256" w:rsidRPr="00075B3A" w:rsidRDefault="00D03256" w:rsidP="00F52659">
      <w:pPr>
        <w:jc w:val="both"/>
        <w:rPr>
          <w:rFonts w:ascii="Work Sans" w:hAnsi="Work Sans"/>
          <w:sz w:val="24"/>
          <w:szCs w:val="20"/>
        </w:rPr>
      </w:pPr>
    </w:p>
    <w:p w:rsidR="00D03256" w:rsidRPr="00075B3A" w:rsidRDefault="00F52659" w:rsidP="00F52659">
      <w:pPr>
        <w:pStyle w:val="Paragraphedeliste"/>
        <w:numPr>
          <w:ilvl w:val="0"/>
          <w:numId w:val="6"/>
        </w:numPr>
        <w:jc w:val="both"/>
        <w:rPr>
          <w:rFonts w:ascii="Work Sans" w:hAnsi="Work Sans"/>
          <w:b/>
          <w:sz w:val="24"/>
          <w:szCs w:val="20"/>
          <w:u w:val="single"/>
        </w:rPr>
      </w:pPr>
      <w:r w:rsidRPr="00075B3A">
        <w:rPr>
          <w:rFonts w:ascii="Work Sans" w:hAnsi="Work Sans"/>
          <w:b/>
          <w:sz w:val="24"/>
          <w:szCs w:val="20"/>
          <w:u w:val="single"/>
        </w:rPr>
        <w:t xml:space="preserve">Item 20 : </w:t>
      </w:r>
    </w:p>
    <w:p w:rsidR="00D03256" w:rsidRPr="00075B3A" w:rsidRDefault="00D03256" w:rsidP="00D03256">
      <w:pPr>
        <w:jc w:val="both"/>
        <w:rPr>
          <w:rFonts w:ascii="Work Sans" w:hAnsi="Work Sans"/>
          <w:sz w:val="24"/>
          <w:szCs w:val="20"/>
        </w:rPr>
      </w:pPr>
      <w:r w:rsidRPr="00075B3A">
        <w:rPr>
          <w:rFonts w:ascii="Work Sans" w:hAnsi="Work Sans"/>
          <w:sz w:val="24"/>
          <w:szCs w:val="20"/>
        </w:rPr>
        <w:t>L</w:t>
      </w:r>
      <w:r w:rsidR="00F52659" w:rsidRPr="00075B3A">
        <w:rPr>
          <w:rFonts w:ascii="Work Sans" w:hAnsi="Work Sans"/>
          <w:sz w:val="24"/>
          <w:szCs w:val="20"/>
        </w:rPr>
        <w:t>e GT indique que le droit en vigueur prévoit la possibilité notamment d’une thèse sur travaux (reconnaissance d</w:t>
      </w:r>
      <w:r w:rsidRPr="00075B3A">
        <w:rPr>
          <w:rFonts w:ascii="Work Sans" w:hAnsi="Work Sans"/>
          <w:sz w:val="24"/>
          <w:szCs w:val="20"/>
        </w:rPr>
        <w:t>u développement professionnel tout au long de la vie) ; pour la qualification, elle est faite par le CNU.</w:t>
      </w:r>
    </w:p>
    <w:p w:rsidR="00D03256" w:rsidRPr="00075B3A" w:rsidRDefault="00D03256" w:rsidP="00D03256">
      <w:pPr>
        <w:pStyle w:val="Paragraphedeliste"/>
        <w:ind w:left="1080"/>
        <w:jc w:val="both"/>
        <w:rPr>
          <w:rFonts w:ascii="Work Sans" w:hAnsi="Work Sans"/>
          <w:sz w:val="24"/>
          <w:szCs w:val="20"/>
        </w:rPr>
      </w:pPr>
    </w:p>
    <w:p w:rsidR="006F1B67" w:rsidRPr="00075B3A" w:rsidRDefault="00D03256" w:rsidP="006F1B67">
      <w:pPr>
        <w:pStyle w:val="Paragraphedeliste"/>
        <w:numPr>
          <w:ilvl w:val="0"/>
          <w:numId w:val="6"/>
        </w:numPr>
        <w:jc w:val="both"/>
        <w:rPr>
          <w:rFonts w:ascii="Work Sans" w:hAnsi="Work Sans"/>
          <w:b/>
          <w:sz w:val="24"/>
          <w:szCs w:val="20"/>
          <w:u w:val="single"/>
        </w:rPr>
      </w:pPr>
      <w:r w:rsidRPr="00075B3A">
        <w:rPr>
          <w:rFonts w:ascii="Work Sans" w:hAnsi="Work Sans"/>
          <w:b/>
          <w:sz w:val="24"/>
          <w:szCs w:val="20"/>
          <w:u w:val="single"/>
        </w:rPr>
        <w:t xml:space="preserve">Item 21 : </w:t>
      </w:r>
    </w:p>
    <w:p w:rsidR="00431770" w:rsidRPr="00075B3A" w:rsidRDefault="006F1B67" w:rsidP="006F1B67">
      <w:pPr>
        <w:jc w:val="both"/>
        <w:rPr>
          <w:rFonts w:ascii="Work Sans" w:hAnsi="Work Sans"/>
          <w:sz w:val="24"/>
          <w:szCs w:val="20"/>
        </w:rPr>
      </w:pPr>
      <w:r w:rsidRPr="00075B3A">
        <w:rPr>
          <w:rFonts w:ascii="Work Sans" w:hAnsi="Work Sans"/>
          <w:sz w:val="24"/>
          <w:szCs w:val="20"/>
        </w:rPr>
        <w:t>L</w:t>
      </w:r>
      <w:r w:rsidR="00D03256" w:rsidRPr="00075B3A">
        <w:rPr>
          <w:rFonts w:ascii="Work Sans" w:hAnsi="Work Sans"/>
          <w:sz w:val="24"/>
          <w:szCs w:val="20"/>
        </w:rPr>
        <w:t xml:space="preserve">e GT propose la mise en place d’une procédure de recrutement formalisée pour les contrats de post-docs. </w:t>
      </w:r>
    </w:p>
    <w:p w:rsidR="006F1B67" w:rsidRPr="00075B3A" w:rsidRDefault="006F1B67" w:rsidP="006F1B67">
      <w:pPr>
        <w:jc w:val="both"/>
        <w:rPr>
          <w:rFonts w:ascii="Work Sans" w:hAnsi="Work Sans"/>
          <w:sz w:val="24"/>
          <w:szCs w:val="20"/>
        </w:rPr>
      </w:pPr>
    </w:p>
    <w:p w:rsidR="000B7C26" w:rsidRPr="00075B3A" w:rsidRDefault="000B7C26" w:rsidP="000B7C26">
      <w:pPr>
        <w:jc w:val="both"/>
        <w:rPr>
          <w:rFonts w:ascii="Work Sans" w:hAnsi="Work Sans"/>
          <w:sz w:val="24"/>
          <w:szCs w:val="20"/>
        </w:rPr>
      </w:pPr>
    </w:p>
    <w:p w:rsidR="003509AC" w:rsidRPr="00075B3A" w:rsidRDefault="000B7C26" w:rsidP="000B7C26">
      <w:pPr>
        <w:pStyle w:val="Paragraphedeliste"/>
        <w:numPr>
          <w:ilvl w:val="0"/>
          <w:numId w:val="3"/>
        </w:numPr>
        <w:jc w:val="both"/>
      </w:pPr>
      <w:r w:rsidRPr="00075B3A">
        <w:rPr>
          <w:rFonts w:ascii="Work Sans" w:hAnsi="Work Sans"/>
          <w:sz w:val="24"/>
          <w:szCs w:val="20"/>
        </w:rPr>
        <w:t>Fin de réunion et suite </w:t>
      </w:r>
      <w:r w:rsidRPr="00075B3A">
        <w:rPr>
          <w:rFonts w:ascii="Work Sans" w:hAnsi="Work Sans"/>
          <w:b/>
          <w:sz w:val="24"/>
          <w:szCs w:val="20"/>
        </w:rPr>
        <w:t xml:space="preserve">: </w:t>
      </w:r>
      <w:r w:rsidR="00C24A89" w:rsidRPr="00075B3A">
        <w:rPr>
          <w:rFonts w:ascii="Work Sans" w:hAnsi="Work Sans"/>
          <w:sz w:val="24"/>
          <w:szCs w:val="20"/>
        </w:rPr>
        <w:t xml:space="preserve">Invitation faite aux membres </w:t>
      </w:r>
      <w:r w:rsidRPr="00075B3A">
        <w:rPr>
          <w:rFonts w:ascii="Work Sans" w:hAnsi="Work Sans"/>
          <w:sz w:val="24"/>
          <w:szCs w:val="20"/>
        </w:rPr>
        <w:t>du GT 2 de participer à la réunion plénière du 28 novembre.</w:t>
      </w:r>
      <w:bookmarkStart w:id="0" w:name="_GoBack"/>
      <w:bookmarkEnd w:id="0"/>
    </w:p>
    <w:sectPr w:rsidR="003509AC" w:rsidRPr="00075B3A" w:rsidSect="007471DF">
      <w:footerReference w:type="even" r:id="rId7"/>
      <w:footerReference w:type="default" r:id="rId8"/>
      <w:pgSz w:w="11906" w:h="16838"/>
      <w:pgMar w:top="1021"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E4" w:rsidRDefault="00F95EE4" w:rsidP="00D03256">
      <w:pPr>
        <w:spacing w:after="0" w:line="240" w:lineRule="auto"/>
      </w:pPr>
      <w:r>
        <w:separator/>
      </w:r>
    </w:p>
  </w:endnote>
  <w:endnote w:type="continuationSeparator" w:id="0">
    <w:p w:rsidR="00F95EE4" w:rsidRDefault="00F95EE4" w:rsidP="00D0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14384813"/>
      <w:docPartObj>
        <w:docPartGallery w:val="Page Numbers (Bottom of Page)"/>
        <w:docPartUnique/>
      </w:docPartObj>
    </w:sdtPr>
    <w:sdtEndPr>
      <w:rPr>
        <w:rStyle w:val="Numrodepage"/>
      </w:rPr>
    </w:sdtEndPr>
    <w:sdtContent>
      <w:p w:rsidR="00D03256" w:rsidRDefault="00D03256" w:rsidP="00260CA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03256" w:rsidRDefault="00D032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19713473"/>
      <w:docPartObj>
        <w:docPartGallery w:val="Page Numbers (Bottom of Page)"/>
        <w:docPartUnique/>
      </w:docPartObj>
    </w:sdtPr>
    <w:sdtEndPr>
      <w:rPr>
        <w:rStyle w:val="Numrodepage"/>
      </w:rPr>
    </w:sdtEndPr>
    <w:sdtContent>
      <w:p w:rsidR="00D03256" w:rsidRDefault="00D03256" w:rsidP="00260CA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075B3A">
          <w:rPr>
            <w:rStyle w:val="Numrodepage"/>
            <w:noProof/>
          </w:rPr>
          <w:t>1</w:t>
        </w:r>
        <w:r>
          <w:rPr>
            <w:rStyle w:val="Numrodepage"/>
          </w:rPr>
          <w:fldChar w:fldCharType="end"/>
        </w:r>
      </w:p>
    </w:sdtContent>
  </w:sdt>
  <w:p w:rsidR="00D03256" w:rsidRDefault="00D032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E4" w:rsidRDefault="00F95EE4" w:rsidP="00D03256">
      <w:pPr>
        <w:spacing w:after="0" w:line="240" w:lineRule="auto"/>
      </w:pPr>
      <w:r>
        <w:separator/>
      </w:r>
    </w:p>
  </w:footnote>
  <w:footnote w:type="continuationSeparator" w:id="0">
    <w:p w:rsidR="00F95EE4" w:rsidRDefault="00F95EE4" w:rsidP="00D0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F61"/>
    <w:multiLevelType w:val="hybridMultilevel"/>
    <w:tmpl w:val="9F9A4656"/>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105A7568"/>
    <w:multiLevelType w:val="hybridMultilevel"/>
    <w:tmpl w:val="E8BE55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7A5A35"/>
    <w:multiLevelType w:val="hybridMultilevel"/>
    <w:tmpl w:val="E878007C"/>
    <w:lvl w:ilvl="0" w:tplc="040C000B">
      <w:start w:val="1"/>
      <w:numFmt w:val="bullet"/>
      <w:lvlText w:val=""/>
      <w:lvlJc w:val="left"/>
      <w:pPr>
        <w:ind w:left="1080" w:hanging="360"/>
      </w:pPr>
      <w:rPr>
        <w:rFonts w:ascii="Wingdings" w:hAnsi="Wingding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F8F0B78"/>
    <w:multiLevelType w:val="hybridMultilevel"/>
    <w:tmpl w:val="2FBA390A"/>
    <w:lvl w:ilvl="0" w:tplc="D304FDB8">
      <w:start w:val="2"/>
      <w:numFmt w:val="bullet"/>
      <w:lvlText w:val="-"/>
      <w:lvlJc w:val="left"/>
      <w:pPr>
        <w:ind w:left="1080" w:hanging="360"/>
      </w:pPr>
      <w:rPr>
        <w:rFonts w:ascii="Work Sans" w:eastAsiaTheme="minorHAnsi" w:hAnsi="Work San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0FE00F4"/>
    <w:multiLevelType w:val="hybridMultilevel"/>
    <w:tmpl w:val="E892CCFC"/>
    <w:lvl w:ilvl="0" w:tplc="3594E91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496B82"/>
    <w:multiLevelType w:val="hybridMultilevel"/>
    <w:tmpl w:val="3D4035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26"/>
    <w:rsid w:val="00075B3A"/>
    <w:rsid w:val="000B7C26"/>
    <w:rsid w:val="002B3024"/>
    <w:rsid w:val="00323CB7"/>
    <w:rsid w:val="003509AC"/>
    <w:rsid w:val="003B1176"/>
    <w:rsid w:val="00431770"/>
    <w:rsid w:val="005245C9"/>
    <w:rsid w:val="006C1CFB"/>
    <w:rsid w:val="006F1B67"/>
    <w:rsid w:val="0074496D"/>
    <w:rsid w:val="007E5351"/>
    <w:rsid w:val="00804A9E"/>
    <w:rsid w:val="00C24A89"/>
    <w:rsid w:val="00C43FA5"/>
    <w:rsid w:val="00D03256"/>
    <w:rsid w:val="00D50770"/>
    <w:rsid w:val="00D5772F"/>
    <w:rsid w:val="00E82648"/>
    <w:rsid w:val="00EC5415"/>
    <w:rsid w:val="00F52659"/>
    <w:rsid w:val="00F7071C"/>
    <w:rsid w:val="00F95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1456AFA-C443-DB40-8108-763D45F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C26"/>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C26"/>
    <w:pPr>
      <w:ind w:left="720"/>
      <w:contextualSpacing/>
    </w:pPr>
  </w:style>
  <w:style w:type="character" w:styleId="Lienhypertexte">
    <w:name w:val="Hyperlink"/>
    <w:basedOn w:val="Policepardfaut"/>
    <w:uiPriority w:val="99"/>
    <w:unhideWhenUsed/>
    <w:rsid w:val="000B7C26"/>
    <w:rPr>
      <w:color w:val="0563C1" w:themeColor="hyperlink"/>
      <w:u w:val="single"/>
    </w:rPr>
  </w:style>
  <w:style w:type="paragraph" w:styleId="Pieddepage">
    <w:name w:val="footer"/>
    <w:basedOn w:val="Normal"/>
    <w:link w:val="PieddepageCar"/>
    <w:uiPriority w:val="99"/>
    <w:unhideWhenUsed/>
    <w:rsid w:val="00D032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256"/>
    <w:rPr>
      <w:sz w:val="22"/>
      <w:szCs w:val="22"/>
    </w:rPr>
  </w:style>
  <w:style w:type="character" w:styleId="Numrodepage">
    <w:name w:val="page number"/>
    <w:basedOn w:val="Policepardfaut"/>
    <w:uiPriority w:val="99"/>
    <w:semiHidden/>
    <w:unhideWhenUsed/>
    <w:rsid w:val="00D0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2</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Frederic Matyjas</cp:lastModifiedBy>
  <cp:revision>9</cp:revision>
  <dcterms:created xsi:type="dcterms:W3CDTF">2019-11-29T08:35:00Z</dcterms:created>
  <dcterms:modified xsi:type="dcterms:W3CDTF">2021-07-22T14:22:00Z</dcterms:modified>
</cp:coreProperties>
</file>